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12" w:lineRule="auto"/>
        <w:jc w:val="center"/>
        <w:rPr/>
      </w:pPr>
      <w:bookmarkStart w:colFirst="0" w:colLast="0" w:name="_heading=h.prdnajxsd0fn" w:id="0"/>
      <w:bookmarkEnd w:id="0"/>
      <w:r w:rsidDel="00000000" w:rsidR="00000000" w:rsidRPr="00000000">
        <w:rPr>
          <w:rFonts w:ascii="Arial" w:cs="Arial" w:eastAsia="Arial" w:hAnsi="Arial"/>
          <w:b w:val="1"/>
          <w:bCs w:val="1"/>
          <w:color w:val="000000"/>
          <w:sz w:val="20"/>
          <w:szCs w:val="20"/>
          <w:rtl w:val="0"/>
        </w:rPr>
        <w:t xml:space="preserve">TERMO DE REFERÊNCIA</w:t>
        <w:br w:type="textWrapping"/>
        <w:t xml:space="preserve">Lei nº 14.133, de 1º de abril de 2021</w:t>
      </w:r>
      <w:r w:rsidDel="00000000" w:rsidR="00000000" w:rsidRPr="00000000">
        <w:rPr>
          <w:rtl w:val="0"/>
        </w:rPr>
      </w:r>
    </w:p>
    <w:p w:rsidR="00000000" w:rsidDel="00000000" w:rsidP="00000000" w:rsidRDefault="00000000" w:rsidRPr="00000000" w14:paraId="00000002">
      <w:pPr>
        <w:spacing w:after="72.00000000000003" w:line="312" w:lineRule="auto"/>
        <w:jc w:val="center"/>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03">
      <w:pPr>
        <w:spacing w:after="288" w:before="72.00000000000003" w:line="312" w:lineRule="auto"/>
        <w:jc w:val="center"/>
        <w:rPr>
          <w:rFonts w:ascii="Arial" w:cs="Arial" w:eastAsia="Arial" w:hAnsi="Arial"/>
          <w:b w:val="1"/>
          <w:bCs w:val="1"/>
          <w:i w:val="1"/>
          <w:iCs w:val="1"/>
          <w:sz w:val="20"/>
          <w:szCs w:val="20"/>
        </w:rPr>
      </w:pPr>
      <w:r w:rsidDel="00000000" w:rsidR="00000000" w:rsidRPr="00000000">
        <w:rPr>
          <w:rFonts w:ascii="Arial" w:cs="Arial" w:eastAsia="Arial" w:hAnsi="Arial"/>
          <w:b w:val="1"/>
          <w:bCs w:val="1"/>
          <w:i w:val="1"/>
          <w:iCs w:val="1"/>
          <w:sz w:val="20"/>
          <w:szCs w:val="20"/>
          <w:rtl w:val="0"/>
        </w:rPr>
        <w:t xml:space="preserve">CIMMVI</w:t>
      </w:r>
    </w:p>
    <w:p w:rsidR="00000000" w:rsidDel="00000000" w:rsidP="00000000" w:rsidRDefault="00000000" w:rsidRPr="00000000" w14:paraId="00000004">
      <w:pPr>
        <w:spacing w:after="288" w:before="120" w:line="312" w:lineRule="auto"/>
        <w:jc w:val="center"/>
        <w:rPr>
          <w:rFonts w:ascii="Arial" w:cs="Arial" w:eastAsia="Arial" w:hAnsi="Arial"/>
          <w:sz w:val="20"/>
          <w:szCs w:val="20"/>
        </w:rPr>
      </w:pPr>
      <w:r w:rsidDel="00000000" w:rsidR="00000000" w:rsidRPr="00000000">
        <w:rPr>
          <w:rFonts w:ascii="Arial" w:cs="Arial" w:eastAsia="Arial" w:hAnsi="Arial"/>
          <w:color w:val="000000"/>
          <w:sz w:val="20"/>
          <w:szCs w:val="20"/>
          <w:rtl w:val="0"/>
        </w:rPr>
        <w:t xml:space="preserve">Processo Administrativo n° </w:t>
      </w:r>
      <w:r w:rsidDel="00000000" w:rsidR="00000000" w:rsidRPr="00000000">
        <w:rPr>
          <w:rFonts w:ascii="Arial" w:cs="Arial" w:eastAsia="Arial" w:hAnsi="Arial"/>
          <w:i w:val="1"/>
          <w:iCs w:val="1"/>
          <w:sz w:val="20"/>
          <w:szCs w:val="20"/>
          <w:rtl w:val="0"/>
        </w:rPr>
        <w:t xml:space="preserve">07/2025</w:t>
      </w:r>
      <w:r w:rsidDel="00000000" w:rsidR="00000000" w:rsidRPr="00000000">
        <w:rPr>
          <w:rtl w:val="0"/>
        </w:rPr>
      </w:r>
    </w:p>
    <w:p w:rsidR="00000000" w:rsidDel="00000000" w:rsidP="00000000" w:rsidRDefault="00000000" w:rsidRPr="00000000" w14:paraId="00000005">
      <w:pPr>
        <w:spacing w:after="288" w:before="120" w:line="312"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Inexigibilidade nº 01/2025</w:t>
      </w:r>
      <w:r w:rsidDel="00000000" w:rsidR="00000000" w:rsidRPr="00000000">
        <w:rPr>
          <w:rtl w:val="0"/>
        </w:rPr>
      </w:r>
    </w:p>
    <w:p w:rsidR="00000000" w:rsidDel="00000000" w:rsidP="00000000" w:rsidRDefault="00000000" w:rsidRPr="00000000" w14:paraId="00000006">
      <w:pPr>
        <w:spacing w:after="288" w:line="312" w:lineRule="auto"/>
        <w:jc w:val="center"/>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TERMO DE REFERÊNCIA</w:t>
      </w:r>
    </w:p>
    <w:p w:rsidR="00000000" w:rsidDel="00000000" w:rsidP="00000000" w:rsidRDefault="00000000" w:rsidRPr="00000000" w14:paraId="0000000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bookmarkStart w:colFirst="0" w:colLast="0" w:name="_heading=h.2rcku5h7s8q3" w:id="1"/>
      <w:bookmarkEnd w:id="1"/>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CONDIÇÕES GERAIS DA CONTRATAÇÃO</w:t>
      </w:r>
    </w:p>
    <w:p w:rsidR="00000000" w:rsidDel="00000000" w:rsidP="00000000" w:rsidRDefault="00000000" w:rsidRPr="00000000" w14:paraId="0000000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bookmarkStart w:colFirst="0" w:colLast="0" w:name="_heading=h.fukhnzscsela" w:id="2"/>
      <w:bookmarkEnd w:id="2"/>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REGISTRO PREÇOS VISANDO PRESTAÇÃO DE SERVIÇOS ESPECIALIZADOS DE CONSULTORIA E ASSESSORIA ADMINISTRATIVA COM SOLUÇÃO INFORMATIZADA TENDO POR FINALIDADE O LEVANTAMENTO E A RECUPERAÇÃO DE CRÉDITOS DE TRIBUTOS DOS MUNICÍPIOS CONSORCIADOS, nos termos da tabela abaixo, conforme condições e exigências estabelecidas neste instrumento.</w:t>
      </w:r>
    </w:p>
    <w:tbl>
      <w:tblPr>
        <w:tblStyle w:val="Table1"/>
        <w:tblW w:w="9608.0" w:type="dxa"/>
        <w:jc w:val="left"/>
        <w:tblLayout w:type="fixed"/>
        <w:tblLook w:val="0400"/>
      </w:tblPr>
      <w:tblGrid>
        <w:gridCol w:w="1339"/>
        <w:gridCol w:w="4889"/>
        <w:gridCol w:w="900"/>
        <w:gridCol w:w="1059"/>
        <w:gridCol w:w="812"/>
        <w:gridCol w:w="609"/>
        <w:tblGridChange w:id="0">
          <w:tblGrid>
            <w:gridCol w:w="1339"/>
            <w:gridCol w:w="4889"/>
            <w:gridCol w:w="900"/>
            <w:gridCol w:w="1059"/>
            <w:gridCol w:w="812"/>
            <w:gridCol w:w="609"/>
          </w:tblGrid>
        </w:tblGridChange>
      </w:tblGrid>
      <w:tr>
        <w:trPr>
          <w:cantSplit w:val="0"/>
          <w:trHeight w:val="315" w:hRule="atLeast"/>
          <w:tblHeader w:val="0"/>
        </w:trPr>
        <w:tc>
          <w:tcPr>
            <w:tcBorders>
              <w:top w:color="666666" w:space="0" w:sz="12" w:val="single"/>
              <w:left w:color="666666" w:space="0" w:sz="12" w:val="single"/>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09">
            <w:pPr>
              <w:jc w:val="right"/>
              <w:rPr>
                <w:rFonts w:ascii="Calibri" w:cs="Calibri" w:eastAsia="Calibri" w:hAnsi="Calibri"/>
                <w:b w:val="1"/>
                <w:bCs w:val="1"/>
                <w:color w:val="f1c232"/>
              </w:rPr>
            </w:pPr>
            <w:r w:rsidDel="00000000" w:rsidR="00000000" w:rsidRPr="00000000">
              <w:rPr>
                <w:rFonts w:ascii="Calibri" w:cs="Calibri" w:eastAsia="Calibri" w:hAnsi="Calibri"/>
                <w:b w:val="1"/>
                <w:bCs w:val="1"/>
                <w:color w:val="f1c232"/>
                <w:rtl w:val="0"/>
              </w:rPr>
              <w:t xml:space="preserve">ITEM</w:t>
            </w:r>
          </w:p>
        </w:tc>
        <w:tc>
          <w:tcPr>
            <w:tcBorders>
              <w:top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0A">
            <w:pPr>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Especificação</w:t>
            </w:r>
          </w:p>
        </w:tc>
        <w:tc>
          <w:tcPr>
            <w:tcBorders>
              <w:top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0B">
            <w:pPr>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Unidade de medida</w:t>
            </w:r>
          </w:p>
        </w:tc>
        <w:tc>
          <w:tcPr>
            <w:tcBorders>
              <w:top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0C">
            <w:pPr>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quantidade</w:t>
            </w:r>
          </w:p>
        </w:tc>
        <w:tc>
          <w:tcPr>
            <w:tcBorders>
              <w:top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0D">
            <w:pPr>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valor unitário</w:t>
            </w:r>
          </w:p>
        </w:tc>
        <w:tc>
          <w:tcPr>
            <w:tcBorders>
              <w:top w:color="666666" w:space="0" w:sz="12" w:val="single"/>
              <w:bottom w:color="434343" w:space="0" w:sz="6" w:val="single"/>
              <w:right w:color="666666" w:space="0" w:sz="12" w:val="single"/>
            </w:tcBorders>
            <w:shd w:fill="ffd966" w:val="clear"/>
            <w:tcMar>
              <w:top w:w="30.0" w:type="dxa"/>
              <w:left w:w="45.0" w:type="dxa"/>
              <w:bottom w:w="30.0" w:type="dxa"/>
              <w:right w:w="45.0" w:type="dxa"/>
            </w:tcMar>
            <w:vAlign w:val="bottom"/>
          </w:tcPr>
          <w:p w:rsidR="00000000" w:rsidDel="00000000" w:rsidP="00000000" w:rsidRDefault="00000000" w:rsidRPr="00000000" w14:paraId="0000000E">
            <w:pPr>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Valor total</w:t>
            </w:r>
          </w:p>
        </w:tc>
      </w:tr>
      <w:tr>
        <w:trPr>
          <w:cantSplit w:val="0"/>
          <w:trHeight w:val="315" w:hRule="atLeast"/>
          <w:tblHeader w:val="0"/>
        </w:trPr>
        <w:tc>
          <w:tcPr>
            <w:tcBorders>
              <w:left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0F">
            <w:pPr>
              <w:jc w:val="right"/>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PREVIDÊNCIA GERAL</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10">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Prestação de serviços especializados com solução informatizada para levantamento, auditoria e saneamento das bases de cálculo das contribuições patronais, com verificação de incidências e exclusões de verbas indenizatórias, cruzamento de GFIP/SEFIP, eSocial e DCTFWeb, elaboração de memórias de cálculo, retificação das declarações quando necessário e instrução de pedidos de restituição ou compensação e administrativa e/ou judicial (PER/DCOMP), inclusive com suporte técnico aos fiscais para prevenir reincidências e consolidar rotinas de conformidade.</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11">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un</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12">
            <w:pPr>
              <w:rPr>
                <w:rFonts w:ascii="Calibri" w:cs="Calibri" w:eastAsia="Calibri" w:hAnsi="Calibri"/>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13">
            <w:pPr>
              <w:jc w:val="righ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17.50%</w:t>
            </w:r>
          </w:p>
        </w:tc>
        <w:tc>
          <w:tcPr>
            <w:tcBorders>
              <w:bottom w:color="434343" w:space="0" w:sz="6" w:val="single"/>
              <w:right w:color="666666" w:space="0" w:sz="12" w:val="single"/>
            </w:tcBorders>
            <w:shd w:fill="ffd966" w:val="clear"/>
            <w:tcMar>
              <w:top w:w="30.0" w:type="dxa"/>
              <w:left w:w="45.0" w:type="dxa"/>
              <w:bottom w:w="30.0" w:type="dxa"/>
              <w:right w:w="45.0" w:type="dxa"/>
            </w:tcMar>
            <w:vAlign w:val="bottom"/>
          </w:tcPr>
          <w:p w:rsidR="00000000" w:rsidDel="00000000" w:rsidP="00000000" w:rsidRDefault="00000000" w:rsidRPr="00000000" w14:paraId="00000014">
            <w:pPr>
              <w:jc w:val="right"/>
              <w:rPr>
                <w:rFonts w:ascii="Calibri" w:cs="Calibri" w:eastAsia="Calibri" w:hAnsi="Calibri"/>
                <w:sz w:val="20"/>
                <w:szCs w:val="20"/>
              </w:rPr>
            </w:pPr>
            <w:r w:rsidDel="00000000" w:rsidR="00000000" w:rsidRPr="00000000">
              <w:rPr>
                <w:rtl w:val="0"/>
              </w:rPr>
            </w:r>
          </w:p>
        </w:tc>
      </w:tr>
      <w:tr>
        <w:trPr>
          <w:cantSplit w:val="0"/>
          <w:trHeight w:val="315" w:hRule="atLeast"/>
          <w:tblHeader w:val="0"/>
        </w:trPr>
        <w:tc>
          <w:tcPr>
            <w:tcBorders>
              <w:left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15">
            <w:pPr>
              <w:jc w:val="right"/>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RAT</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16">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Execução de diagnóstico técnico do enquadramento por atividade econômica preponderante, análise de estabelecimentos e CNPJs, recalculando alíquotas do GIIL-RAT com aplicação do FAP e apuração mensal das diferenças, com saneamento de bases, memórias de cálculo, eventuais retificações e instrução de PER/DCOMP para recuperação de valores pagos a maior, além da entrega de guia de prevenção com boas práticas para atualização anual do FAP de forma administrativa e/ou judicial.</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17">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un</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18">
            <w:pPr>
              <w:rPr>
                <w:rFonts w:ascii="Calibri" w:cs="Calibri" w:eastAsia="Calibri" w:hAnsi="Calibri"/>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19">
            <w:pPr>
              <w:jc w:val="righ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17.50%</w:t>
            </w:r>
          </w:p>
        </w:tc>
        <w:tc>
          <w:tcPr>
            <w:tcBorders>
              <w:bottom w:color="434343" w:space="0" w:sz="6" w:val="single"/>
              <w:right w:color="666666" w:space="0" w:sz="12" w:val="single"/>
            </w:tcBorders>
            <w:shd w:fill="ffd966" w:val="clear"/>
            <w:tcMar>
              <w:top w:w="30.0" w:type="dxa"/>
              <w:left w:w="45.0" w:type="dxa"/>
              <w:bottom w:w="30.0" w:type="dxa"/>
              <w:right w:w="45.0" w:type="dxa"/>
            </w:tcMar>
            <w:vAlign w:val="bottom"/>
          </w:tcPr>
          <w:p w:rsidR="00000000" w:rsidDel="00000000" w:rsidP="00000000" w:rsidRDefault="00000000" w:rsidRPr="00000000" w14:paraId="0000001A">
            <w:pPr>
              <w:jc w:val="right"/>
              <w:rPr>
                <w:rFonts w:ascii="Calibri" w:cs="Calibri" w:eastAsia="Calibri" w:hAnsi="Calibri"/>
                <w:sz w:val="20"/>
                <w:szCs w:val="20"/>
              </w:rPr>
            </w:pPr>
            <w:r w:rsidDel="00000000" w:rsidR="00000000" w:rsidRPr="00000000">
              <w:rPr>
                <w:rtl w:val="0"/>
              </w:rPr>
            </w:r>
          </w:p>
        </w:tc>
      </w:tr>
      <w:tr>
        <w:trPr>
          <w:cantSplit w:val="0"/>
          <w:trHeight w:val="315" w:hRule="atLeast"/>
          <w:tblHeader w:val="0"/>
        </w:trPr>
        <w:tc>
          <w:tcPr>
            <w:tcBorders>
              <w:left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1B">
            <w:pPr>
              <w:jc w:val="right"/>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PASEP</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1C">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Revisão da base de cálculo e classificação de receitas com apoio de solução informatizada, identificação de rubricas não incidentes e ajustes contábeis correlatos, auditoria dos recolhimentos pretéritos, quantificação de créditos, memórias e documentação comprobatória, instrução e acompanhamento de PER/DCOMP e retificações cabíveis, com emissão de manual de classificação e controles internos para evitar novas inconformidades  de forma administrativa e/ou judicial.</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1D">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un</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1E">
            <w:pPr>
              <w:rPr>
                <w:rFonts w:ascii="Calibri" w:cs="Calibri" w:eastAsia="Calibri" w:hAnsi="Calibri"/>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1F">
            <w:pPr>
              <w:jc w:val="righ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17.50%</w:t>
            </w:r>
          </w:p>
        </w:tc>
        <w:tc>
          <w:tcPr>
            <w:tcBorders>
              <w:bottom w:color="434343" w:space="0" w:sz="6" w:val="single"/>
              <w:right w:color="666666" w:space="0" w:sz="12" w:val="single"/>
            </w:tcBorders>
            <w:shd w:fill="ffd966" w:val="clear"/>
            <w:tcMar>
              <w:top w:w="30.0" w:type="dxa"/>
              <w:left w:w="45.0" w:type="dxa"/>
              <w:bottom w:w="30.0" w:type="dxa"/>
              <w:right w:w="45.0" w:type="dxa"/>
            </w:tcMar>
            <w:vAlign w:val="bottom"/>
          </w:tcPr>
          <w:p w:rsidR="00000000" w:rsidDel="00000000" w:rsidP="00000000" w:rsidRDefault="00000000" w:rsidRPr="00000000" w14:paraId="00000020">
            <w:pPr>
              <w:jc w:val="right"/>
              <w:rPr>
                <w:rFonts w:ascii="Calibri" w:cs="Calibri" w:eastAsia="Calibri" w:hAnsi="Calibri"/>
                <w:sz w:val="20"/>
                <w:szCs w:val="20"/>
              </w:rPr>
            </w:pPr>
            <w:r w:rsidDel="00000000" w:rsidR="00000000" w:rsidRPr="00000000">
              <w:rPr>
                <w:rtl w:val="0"/>
              </w:rPr>
            </w:r>
          </w:p>
        </w:tc>
      </w:tr>
      <w:tr>
        <w:trPr>
          <w:cantSplit w:val="0"/>
          <w:trHeight w:val="315" w:hRule="atLeast"/>
          <w:tblHeader w:val="0"/>
        </w:trPr>
        <w:tc>
          <w:tcPr>
            <w:tcBorders>
              <w:left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21">
            <w:pPr>
              <w:jc w:val="right"/>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PREVIDÊNCIA PRÓPRIA</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22">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Realização de diagnóstico de conformidade normativa e atuarial das práticas do ente no âmbito do RPPS, com verificação das contribuições, dos processos de concessão e das rotinas de arrecadação, identificação de riscos e contingências, proposição de regularizações e ajustes de procedimentos, entrega de relatórios de governança e capacitação dos servidores para fortalecimento dos controles internos e da aderência às normas vigentes.</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23">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un</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24">
            <w:pPr>
              <w:rPr>
                <w:rFonts w:ascii="Calibri" w:cs="Calibri" w:eastAsia="Calibri" w:hAnsi="Calibri"/>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25">
            <w:pPr>
              <w:jc w:val="righ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17.50%</w:t>
            </w:r>
          </w:p>
        </w:tc>
        <w:tc>
          <w:tcPr>
            <w:tcBorders>
              <w:bottom w:color="434343" w:space="0" w:sz="6" w:val="single"/>
              <w:right w:color="666666" w:space="0" w:sz="12" w:val="single"/>
            </w:tcBorders>
            <w:shd w:fill="ffd966" w:val="clear"/>
            <w:tcMar>
              <w:top w:w="30.0" w:type="dxa"/>
              <w:left w:w="45.0" w:type="dxa"/>
              <w:bottom w:w="30.0" w:type="dxa"/>
              <w:right w:w="45.0" w:type="dxa"/>
            </w:tcMar>
            <w:vAlign w:val="bottom"/>
          </w:tcPr>
          <w:p w:rsidR="00000000" w:rsidDel="00000000" w:rsidP="00000000" w:rsidRDefault="00000000" w:rsidRPr="00000000" w14:paraId="00000026">
            <w:pPr>
              <w:jc w:val="right"/>
              <w:rPr>
                <w:rFonts w:ascii="Calibri" w:cs="Calibri" w:eastAsia="Calibri" w:hAnsi="Calibri"/>
                <w:sz w:val="20"/>
                <w:szCs w:val="20"/>
              </w:rPr>
            </w:pPr>
            <w:r w:rsidDel="00000000" w:rsidR="00000000" w:rsidRPr="00000000">
              <w:rPr>
                <w:rtl w:val="0"/>
              </w:rPr>
            </w:r>
          </w:p>
        </w:tc>
      </w:tr>
      <w:tr>
        <w:trPr>
          <w:cantSplit w:val="0"/>
          <w:trHeight w:val="315" w:hRule="atLeast"/>
          <w:tblHeader w:val="0"/>
        </w:trPr>
        <w:tc>
          <w:tcPr>
            <w:tcBorders>
              <w:left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27">
            <w:pPr>
              <w:jc w:val="right"/>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IRPJ</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28">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Processamento automatizado de documentos fiscais eletrônicos e registros de pagamentos para identificar hipóteses de retenção devida, divergências e ausências de retenção, considerando regime tributário do prestador, códigos de receita e regras aplicáveis, com saneamento das bases, constituição e recuperação de valores, retificações quando exigidas e emissão de relatórios de controle para reforço das rotinas de retenção e arrecadação municipal de forma administrativa e/ou judicial.</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29">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un</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2A">
            <w:pPr>
              <w:rPr>
                <w:rFonts w:ascii="Calibri" w:cs="Calibri" w:eastAsia="Calibri" w:hAnsi="Calibri"/>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2B">
            <w:pPr>
              <w:jc w:val="righ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17.50%</w:t>
            </w:r>
          </w:p>
        </w:tc>
        <w:tc>
          <w:tcPr>
            <w:tcBorders>
              <w:bottom w:color="434343" w:space="0" w:sz="6" w:val="single"/>
              <w:right w:color="666666" w:space="0" w:sz="12" w:val="single"/>
            </w:tcBorders>
            <w:shd w:fill="ffd966" w:val="clear"/>
            <w:tcMar>
              <w:top w:w="30.0" w:type="dxa"/>
              <w:left w:w="45.0" w:type="dxa"/>
              <w:bottom w:w="30.0" w:type="dxa"/>
              <w:right w:w="45.0" w:type="dxa"/>
            </w:tcMar>
            <w:vAlign w:val="bottom"/>
          </w:tcPr>
          <w:p w:rsidR="00000000" w:rsidDel="00000000" w:rsidP="00000000" w:rsidRDefault="00000000" w:rsidRPr="00000000" w14:paraId="0000002C">
            <w:pPr>
              <w:jc w:val="right"/>
              <w:rPr>
                <w:rFonts w:ascii="Calibri" w:cs="Calibri" w:eastAsia="Calibri" w:hAnsi="Calibri"/>
                <w:sz w:val="20"/>
                <w:szCs w:val="20"/>
              </w:rPr>
            </w:pPr>
            <w:r w:rsidDel="00000000" w:rsidR="00000000" w:rsidRPr="00000000">
              <w:rPr>
                <w:rtl w:val="0"/>
              </w:rPr>
            </w:r>
          </w:p>
        </w:tc>
      </w:tr>
      <w:tr>
        <w:trPr>
          <w:cantSplit w:val="0"/>
          <w:trHeight w:val="315" w:hRule="atLeast"/>
          <w:tblHeader w:val="0"/>
        </w:trPr>
        <w:tc>
          <w:tcPr>
            <w:tcBorders>
              <w:left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2D">
            <w:pPr>
              <w:jc w:val="right"/>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TELEFONIA</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2E">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Auditoria tributária sobre TFF, TLA e Habite-se de torres, com cadastramento in loco, mapeamento e validação de dados das estruturas, exame documental e apuração de passivos, instrução de notificações e cobrança administrativa junto às operadoras, acompanhamento das respostas e regularizações, além de relatórios mensais com indicadores de recuperação e recomendações para a melhoria contínua do cadastro e da arrecadação.</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2F">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un</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30">
            <w:pPr>
              <w:rPr>
                <w:rFonts w:ascii="Calibri" w:cs="Calibri" w:eastAsia="Calibri" w:hAnsi="Calibri"/>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31">
            <w:pPr>
              <w:jc w:val="righ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17.50%</w:t>
            </w:r>
          </w:p>
        </w:tc>
        <w:tc>
          <w:tcPr>
            <w:tcBorders>
              <w:bottom w:color="434343" w:space="0" w:sz="6" w:val="single"/>
              <w:right w:color="666666" w:space="0" w:sz="12" w:val="single"/>
            </w:tcBorders>
            <w:shd w:fill="ffd966" w:val="clear"/>
            <w:tcMar>
              <w:top w:w="30.0" w:type="dxa"/>
              <w:left w:w="45.0" w:type="dxa"/>
              <w:bottom w:w="30.0" w:type="dxa"/>
              <w:right w:w="45.0" w:type="dxa"/>
            </w:tcMar>
            <w:vAlign w:val="bottom"/>
          </w:tcPr>
          <w:p w:rsidR="00000000" w:rsidDel="00000000" w:rsidP="00000000" w:rsidRDefault="00000000" w:rsidRPr="00000000" w14:paraId="00000032">
            <w:pPr>
              <w:jc w:val="right"/>
              <w:rPr>
                <w:rFonts w:ascii="Calibri" w:cs="Calibri" w:eastAsia="Calibri" w:hAnsi="Calibri"/>
                <w:sz w:val="20"/>
                <w:szCs w:val="20"/>
              </w:rPr>
            </w:pPr>
            <w:r w:rsidDel="00000000" w:rsidR="00000000" w:rsidRPr="00000000">
              <w:rPr>
                <w:rtl w:val="0"/>
              </w:rPr>
            </w:r>
          </w:p>
        </w:tc>
      </w:tr>
      <w:tr>
        <w:trPr>
          <w:cantSplit w:val="0"/>
          <w:trHeight w:val="315" w:hRule="atLeast"/>
          <w:tblHeader w:val="0"/>
        </w:trPr>
        <w:tc>
          <w:tcPr>
            <w:tcBorders>
              <w:left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33">
            <w:pPr>
              <w:jc w:val="right"/>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SUS</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34">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Auditoria dos repasses federais da saúde, identificação de glosas, diferenças e atrasos, com formalização de pedidos de recuperação junto ao Ministério da Saúde, sendo e administrativa e/ou judicial.</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35">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un</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36">
            <w:pPr>
              <w:rPr>
                <w:rFonts w:ascii="Calibri" w:cs="Calibri" w:eastAsia="Calibri" w:hAnsi="Calibri"/>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37">
            <w:pPr>
              <w:jc w:val="righ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17.50%</w:t>
            </w:r>
          </w:p>
        </w:tc>
        <w:tc>
          <w:tcPr>
            <w:tcBorders>
              <w:bottom w:color="434343" w:space="0" w:sz="6" w:val="single"/>
              <w:right w:color="666666" w:space="0" w:sz="12" w:val="single"/>
            </w:tcBorders>
            <w:shd w:fill="ffd966" w:val="clear"/>
            <w:tcMar>
              <w:top w:w="30.0" w:type="dxa"/>
              <w:left w:w="45.0" w:type="dxa"/>
              <w:bottom w:w="30.0" w:type="dxa"/>
              <w:right w:w="45.0" w:type="dxa"/>
            </w:tcMar>
            <w:vAlign w:val="bottom"/>
          </w:tcPr>
          <w:p w:rsidR="00000000" w:rsidDel="00000000" w:rsidP="00000000" w:rsidRDefault="00000000" w:rsidRPr="00000000" w14:paraId="00000038">
            <w:pPr>
              <w:jc w:val="right"/>
              <w:rPr>
                <w:rFonts w:ascii="Calibri" w:cs="Calibri" w:eastAsia="Calibri" w:hAnsi="Calibri"/>
                <w:sz w:val="20"/>
                <w:szCs w:val="20"/>
              </w:rPr>
            </w:pPr>
            <w:r w:rsidDel="00000000" w:rsidR="00000000" w:rsidRPr="00000000">
              <w:rPr>
                <w:rtl w:val="0"/>
              </w:rPr>
            </w:r>
          </w:p>
        </w:tc>
      </w:tr>
      <w:tr>
        <w:trPr>
          <w:cantSplit w:val="0"/>
          <w:trHeight w:val="315" w:hRule="atLeast"/>
          <w:tblHeader w:val="0"/>
        </w:trPr>
        <w:tc>
          <w:tcPr>
            <w:tcBorders>
              <w:left w:color="666666" w:space="0" w:sz="12" w:val="single"/>
              <w:bottom w:color="666666" w:space="0" w:sz="12"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39">
            <w:pPr>
              <w:jc w:val="right"/>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FUNDEB</w:t>
            </w:r>
          </w:p>
        </w:tc>
        <w:tc>
          <w:tcPr>
            <w:tcBorders>
              <w:bottom w:color="666666" w:space="0" w:sz="12"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3A">
            <w:pPr>
              <w:jc w:val="both"/>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Auditoria da base de cálculo dos repasses (VAAT, VAAF e matrículas), identificação de falhas na distribuição e formalização de pedidos de revisão/compensação junto ao FNDE/MEC sendo e administrativa e/ou judicial.</w:t>
            </w:r>
          </w:p>
        </w:tc>
        <w:tc>
          <w:tcPr>
            <w:tcBorders>
              <w:bottom w:color="666666" w:space="0" w:sz="12"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3B">
            <w:pPr>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un</w:t>
            </w:r>
          </w:p>
        </w:tc>
        <w:tc>
          <w:tcPr>
            <w:tcBorders>
              <w:bottom w:color="666666" w:space="0" w:sz="12"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3C">
            <w:pPr>
              <w:rPr>
                <w:rFonts w:ascii="Calibri" w:cs="Calibri" w:eastAsia="Calibri" w:hAnsi="Calibri"/>
                <w:sz w:val="20"/>
                <w:szCs w:val="20"/>
              </w:rPr>
            </w:pPr>
            <w:r w:rsidDel="00000000" w:rsidR="00000000" w:rsidRPr="00000000">
              <w:rPr>
                <w:rtl w:val="0"/>
              </w:rPr>
            </w:r>
          </w:p>
        </w:tc>
        <w:tc>
          <w:tcPr>
            <w:tcBorders>
              <w:bottom w:color="666666" w:space="0" w:sz="12"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3D">
            <w:pPr>
              <w:jc w:val="righ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17.50%</w:t>
            </w:r>
          </w:p>
        </w:tc>
        <w:tc>
          <w:tcPr>
            <w:tcBorders>
              <w:bottom w:color="666666" w:space="0" w:sz="12" w:val="single"/>
              <w:right w:color="666666" w:space="0" w:sz="12" w:val="single"/>
            </w:tcBorders>
            <w:shd w:fill="ffd966" w:val="clear"/>
            <w:tcMar>
              <w:top w:w="30.0" w:type="dxa"/>
              <w:left w:w="45.0" w:type="dxa"/>
              <w:bottom w:w="30.0" w:type="dxa"/>
              <w:right w:w="45.0" w:type="dxa"/>
            </w:tcMar>
            <w:vAlign w:val="bottom"/>
          </w:tcPr>
          <w:p w:rsidR="00000000" w:rsidDel="00000000" w:rsidP="00000000" w:rsidRDefault="00000000" w:rsidRPr="00000000" w14:paraId="0000003E">
            <w:pPr>
              <w:jc w:val="right"/>
              <w:rPr>
                <w:rFonts w:ascii="Calibri" w:cs="Calibri" w:eastAsia="Calibri" w:hAnsi="Calibri"/>
                <w:sz w:val="20"/>
                <w:szCs w:val="20"/>
              </w:rPr>
            </w:pPr>
            <w:r w:rsidDel="00000000" w:rsidR="00000000" w:rsidRPr="00000000">
              <w:rPr>
                <w:rtl w:val="0"/>
              </w:rPr>
            </w:r>
          </w:p>
        </w:tc>
      </w:tr>
    </w:tbl>
    <w:p w:rsidR="00000000" w:rsidDel="00000000" w:rsidP="00000000" w:rsidRDefault="00000000" w:rsidRPr="00000000" w14:paraId="0000003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tl w:val="0"/>
        </w:rPr>
      </w:r>
    </w:p>
    <w:p w:rsidR="00000000" w:rsidDel="00000000" w:rsidP="00000000" w:rsidRDefault="00000000" w:rsidRPr="00000000" w14:paraId="00000040">
      <w:pPr>
        <w:numPr>
          <w:ilvl w:val="2"/>
          <w:numId w:val="4"/>
        </w:numPr>
        <w:spacing w:after="120" w:before="120" w:line="276" w:lineRule="auto"/>
        <w:ind w:left="930" w:hanging="503.9999999999998"/>
        <w:jc w:val="both"/>
        <w:rPr/>
      </w:pPr>
      <w:bookmarkStart w:colFirst="0" w:colLast="0" w:name="_heading=h.qv4zfpc1qqn0" w:id="3"/>
      <w:bookmarkEnd w:id="3"/>
      <w:r w:rsidDel="00000000" w:rsidR="00000000" w:rsidRPr="00000000">
        <w:rPr>
          <w:rFonts w:ascii="Arial" w:cs="Arial" w:eastAsia="Arial" w:hAnsi="Arial"/>
          <w:i w:val="1"/>
          <w:iCs w:val="1"/>
          <w:sz w:val="20"/>
          <w:szCs w:val="20"/>
          <w:rtl w:val="0"/>
        </w:rPr>
        <w:t xml:space="preserve">Estimativas de consumo individualizadas, do órgão gerenciador e órgão(s) e entidade(s) participante(s).</w:t>
      </w:r>
      <w:r w:rsidDel="00000000" w:rsidR="00000000" w:rsidRPr="00000000">
        <w:rPr>
          <w:rtl w:val="0"/>
        </w:rPr>
      </w:r>
    </w:p>
    <w:tbl>
      <w:tblPr>
        <w:tblStyle w:val="Table2"/>
        <w:tblW w:w="9608.0" w:type="dxa"/>
        <w:jc w:val="left"/>
        <w:tblLayout w:type="fixed"/>
        <w:tblLook w:val="0400"/>
      </w:tblPr>
      <w:tblGrid>
        <w:gridCol w:w="1181"/>
        <w:gridCol w:w="613"/>
        <w:gridCol w:w="884"/>
        <w:gridCol w:w="891"/>
        <w:gridCol w:w="958"/>
        <w:gridCol w:w="584"/>
        <w:gridCol w:w="790"/>
        <w:gridCol w:w="740"/>
        <w:gridCol w:w="556"/>
        <w:gridCol w:w="967"/>
        <w:gridCol w:w="703"/>
        <w:gridCol w:w="741"/>
        <w:tblGridChange w:id="0">
          <w:tblGrid>
            <w:gridCol w:w="1181"/>
            <w:gridCol w:w="613"/>
            <w:gridCol w:w="884"/>
            <w:gridCol w:w="891"/>
            <w:gridCol w:w="958"/>
            <w:gridCol w:w="584"/>
            <w:gridCol w:w="790"/>
            <w:gridCol w:w="740"/>
            <w:gridCol w:w="556"/>
            <w:gridCol w:w="967"/>
            <w:gridCol w:w="703"/>
            <w:gridCol w:w="741"/>
          </w:tblGrid>
        </w:tblGridChange>
      </w:tblGrid>
      <w:tr>
        <w:trPr>
          <w:cantSplit w:val="0"/>
          <w:trHeight w:val="315" w:hRule="atLeast"/>
          <w:tblHeader w:val="0"/>
        </w:trPr>
        <w:tc>
          <w:tcPr>
            <w:tcBorders>
              <w:top w:color="666666" w:space="0" w:sz="12" w:val="single"/>
              <w:left w:color="666666" w:space="0" w:sz="12" w:val="single"/>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41">
            <w:pPr>
              <w:jc w:val="right"/>
              <w:rPr>
                <w:rFonts w:ascii="Calibri" w:cs="Calibri" w:eastAsia="Calibri" w:hAnsi="Calibri"/>
                <w:b w:val="1"/>
                <w:bCs w:val="1"/>
                <w:color w:val="f1c232"/>
              </w:rPr>
            </w:pPr>
            <w:r w:rsidDel="00000000" w:rsidR="00000000" w:rsidRPr="00000000">
              <w:rPr>
                <w:rFonts w:ascii="Calibri" w:cs="Calibri" w:eastAsia="Calibri" w:hAnsi="Calibri"/>
                <w:b w:val="1"/>
                <w:bCs w:val="1"/>
                <w:color w:val="f1c232"/>
                <w:rtl w:val="0"/>
              </w:rPr>
              <w:t xml:space="preserve">CIMMVI</w:t>
            </w:r>
          </w:p>
        </w:tc>
        <w:tc>
          <w:tcPr>
            <w:tcBorders>
              <w:top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42">
            <w:pPr>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Carmo do Cajuru</w:t>
            </w:r>
          </w:p>
        </w:tc>
        <w:tc>
          <w:tcPr>
            <w:tcBorders>
              <w:top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43">
            <w:pPr>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Igaratinga</w:t>
            </w:r>
          </w:p>
        </w:tc>
        <w:tc>
          <w:tcPr>
            <w:tcBorders>
              <w:top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44">
            <w:pPr>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Conceição do Pará</w:t>
            </w:r>
          </w:p>
        </w:tc>
        <w:tc>
          <w:tcPr>
            <w:tcBorders>
              <w:top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45">
            <w:pPr>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Itapecerica</w:t>
            </w:r>
          </w:p>
        </w:tc>
        <w:tc>
          <w:tcPr>
            <w:tcBorders>
              <w:top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46">
            <w:pPr>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Pedra do Indaiá</w:t>
            </w:r>
          </w:p>
        </w:tc>
        <w:tc>
          <w:tcPr>
            <w:tcBorders>
              <w:top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47">
            <w:pPr>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Perdigão</w:t>
            </w:r>
          </w:p>
        </w:tc>
        <w:tc>
          <w:tcPr>
            <w:tcBorders>
              <w:top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48">
            <w:pPr>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São Gonçalo do Pará</w:t>
            </w:r>
          </w:p>
        </w:tc>
        <w:tc>
          <w:tcPr>
            <w:tcBorders>
              <w:top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49">
            <w:pPr>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Lagoa da Prata</w:t>
            </w:r>
          </w:p>
        </w:tc>
        <w:tc>
          <w:tcPr>
            <w:tcBorders>
              <w:top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4A">
            <w:pPr>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Divinópolis</w:t>
            </w:r>
          </w:p>
        </w:tc>
        <w:tc>
          <w:tcPr>
            <w:tcBorders>
              <w:top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4B">
            <w:pPr>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Nova Serrana</w:t>
            </w:r>
          </w:p>
        </w:tc>
        <w:tc>
          <w:tcPr>
            <w:tcBorders>
              <w:top w:color="666666" w:space="0" w:sz="12" w:val="single"/>
              <w:bottom w:color="434343" w:space="0" w:sz="6" w:val="single"/>
              <w:right w:color="666666" w:space="0" w:sz="12" w:val="single"/>
            </w:tcBorders>
            <w:shd w:fill="f1c232" w:val="clear"/>
            <w:tcMar>
              <w:top w:w="30.0" w:type="dxa"/>
              <w:left w:w="45.0" w:type="dxa"/>
              <w:bottom w:w="30.0" w:type="dxa"/>
              <w:right w:w="45.0" w:type="dxa"/>
            </w:tcMar>
            <w:vAlign w:val="bottom"/>
          </w:tcPr>
          <w:p w:rsidR="00000000" w:rsidDel="00000000" w:rsidP="00000000" w:rsidRDefault="00000000" w:rsidRPr="00000000" w14:paraId="0000004C">
            <w:pPr>
              <w:rPr>
                <w:rFonts w:ascii="Arial" w:cs="Arial" w:eastAsia="Arial" w:hAnsi="Arial"/>
                <w:b w:val="1"/>
                <w:bCs w:val="1"/>
                <w:sz w:val="20"/>
                <w:szCs w:val="20"/>
              </w:rPr>
            </w:pPr>
            <w:r w:rsidDel="00000000" w:rsidR="00000000" w:rsidRPr="00000000">
              <w:rPr>
                <w:rFonts w:ascii="Arial" w:cs="Arial" w:eastAsia="Arial" w:hAnsi="Arial"/>
                <w:b w:val="1"/>
                <w:bCs w:val="1"/>
                <w:sz w:val="20"/>
                <w:szCs w:val="20"/>
                <w:rtl w:val="0"/>
              </w:rPr>
              <w:t xml:space="preserve">TOTAL (un)</w:t>
            </w:r>
          </w:p>
        </w:tc>
      </w:tr>
      <w:tr>
        <w:trPr>
          <w:cantSplit w:val="0"/>
          <w:trHeight w:val="315" w:hRule="atLeast"/>
          <w:tblHeader w:val="0"/>
        </w:trPr>
        <w:tc>
          <w:tcPr>
            <w:tcBorders>
              <w:left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4D">
            <w:pPr>
              <w:jc w:val="right"/>
              <w:rPr>
                <w:rFonts w:ascii="Calibri" w:cs="Calibri" w:eastAsia="Calibri" w:hAnsi="Calibri"/>
                <w:b w:val="1"/>
                <w:bCs w:val="1"/>
                <w:color w:val="ffffff"/>
                <w:sz w:val="20"/>
                <w:szCs w:val="20"/>
              </w:rPr>
            </w:pPr>
            <w:bookmarkStart w:colFirst="0" w:colLast="0" w:name="_heading=h.x0ot457sk8h9" w:id="4"/>
            <w:bookmarkEnd w:id="4"/>
            <w:r w:rsidDel="00000000" w:rsidR="00000000" w:rsidRPr="00000000">
              <w:rPr>
                <w:rFonts w:ascii="Calibri" w:cs="Calibri" w:eastAsia="Calibri" w:hAnsi="Calibri"/>
                <w:b w:val="1"/>
                <w:bCs w:val="1"/>
                <w:color w:val="ffffff"/>
                <w:sz w:val="20"/>
                <w:szCs w:val="20"/>
                <w:rtl w:val="0"/>
              </w:rPr>
              <w:t xml:space="preserve">PREVIDÊNCIA GERAL</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4E">
            <w:pPr>
              <w:jc w:val="right"/>
              <w:rPr>
                <w:rFonts w:ascii="Calibri" w:cs="Calibri" w:eastAsia="Calibri" w:hAnsi="Calibri"/>
                <w:b w:val="1"/>
                <w:bCs w:val="1"/>
                <w:color w:val="ffffff"/>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53">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666666" w:space="0" w:sz="12" w:val="single"/>
            </w:tcBorders>
            <w:shd w:fill="f1c232" w:val="clear"/>
            <w:tcMar>
              <w:top w:w="30.0" w:type="dxa"/>
              <w:left w:w="45.0" w:type="dxa"/>
              <w:bottom w:w="30.0" w:type="dxa"/>
              <w:right w:w="45.0" w:type="dxa"/>
            </w:tcMar>
            <w:vAlign w:val="bottom"/>
          </w:tcPr>
          <w:p w:rsidR="00000000" w:rsidDel="00000000" w:rsidP="00000000" w:rsidRDefault="00000000" w:rsidRPr="00000000" w14:paraId="00000058">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rHeight w:val="315" w:hRule="atLeast"/>
          <w:tblHeader w:val="0"/>
        </w:trPr>
        <w:tc>
          <w:tcPr>
            <w:tcBorders>
              <w:left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59">
            <w:pPr>
              <w:jc w:val="right"/>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RAT</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5A">
            <w:pPr>
              <w:jc w:val="right"/>
              <w:rPr>
                <w:rFonts w:ascii="Calibri" w:cs="Calibri" w:eastAsia="Calibri" w:hAnsi="Calibri"/>
                <w:b w:val="1"/>
                <w:bCs w:val="1"/>
                <w:color w:val="ffffff"/>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5F">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666666" w:space="0" w:sz="12" w:val="single"/>
            </w:tcBorders>
            <w:shd w:fill="f1c232" w:val="clear"/>
            <w:tcMar>
              <w:top w:w="30.0" w:type="dxa"/>
              <w:left w:w="45.0" w:type="dxa"/>
              <w:bottom w:w="30.0" w:type="dxa"/>
              <w:right w:w="45.0" w:type="dxa"/>
            </w:tcMar>
            <w:vAlign w:val="bottom"/>
          </w:tcPr>
          <w:p w:rsidR="00000000" w:rsidDel="00000000" w:rsidP="00000000" w:rsidRDefault="00000000" w:rsidRPr="00000000" w14:paraId="00000064">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rHeight w:val="315" w:hRule="atLeast"/>
          <w:tblHeader w:val="0"/>
        </w:trPr>
        <w:tc>
          <w:tcPr>
            <w:tcBorders>
              <w:left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65">
            <w:pPr>
              <w:jc w:val="right"/>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PASEP</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66">
            <w:pPr>
              <w:jc w:val="right"/>
              <w:rPr>
                <w:rFonts w:ascii="Calibri" w:cs="Calibri" w:eastAsia="Calibri" w:hAnsi="Calibri"/>
                <w:b w:val="1"/>
                <w:bCs w:val="1"/>
                <w:color w:val="ffffff"/>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6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6E">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6F">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666666" w:space="0" w:sz="12" w:val="single"/>
            </w:tcBorders>
            <w:shd w:fill="f1c232" w:val="clear"/>
            <w:tcMar>
              <w:top w:w="30.0" w:type="dxa"/>
              <w:left w:w="45.0" w:type="dxa"/>
              <w:bottom w:w="30.0" w:type="dxa"/>
              <w:right w:w="45.0" w:type="dxa"/>
            </w:tcMar>
            <w:vAlign w:val="bottom"/>
          </w:tcPr>
          <w:p w:rsidR="00000000" w:rsidDel="00000000" w:rsidP="00000000" w:rsidRDefault="00000000" w:rsidRPr="00000000" w14:paraId="00000070">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rHeight w:val="315" w:hRule="atLeast"/>
          <w:tblHeader w:val="0"/>
        </w:trPr>
        <w:tc>
          <w:tcPr>
            <w:tcBorders>
              <w:left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71">
            <w:pPr>
              <w:jc w:val="right"/>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PREVIDÊNCIA PRÓPRIA</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72">
            <w:pPr>
              <w:jc w:val="right"/>
              <w:rPr>
                <w:rFonts w:ascii="Calibri" w:cs="Calibri" w:eastAsia="Calibri" w:hAnsi="Calibri"/>
                <w:b w:val="1"/>
                <w:bCs w:val="1"/>
                <w:color w:val="ffffff"/>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73">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77">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666666" w:space="0" w:sz="12" w:val="single"/>
            </w:tcBorders>
            <w:shd w:fill="f1c232" w:val="clear"/>
            <w:tcMar>
              <w:top w:w="30.0" w:type="dxa"/>
              <w:left w:w="45.0" w:type="dxa"/>
              <w:bottom w:w="30.0" w:type="dxa"/>
              <w:right w:w="45.0" w:type="dxa"/>
            </w:tcMar>
            <w:vAlign w:val="bottom"/>
          </w:tcPr>
          <w:p w:rsidR="00000000" w:rsidDel="00000000" w:rsidP="00000000" w:rsidRDefault="00000000" w:rsidRPr="00000000" w14:paraId="0000007C">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rHeight w:val="315" w:hRule="atLeast"/>
          <w:tblHeader w:val="0"/>
        </w:trPr>
        <w:tc>
          <w:tcPr>
            <w:tcBorders>
              <w:left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7D">
            <w:pPr>
              <w:jc w:val="right"/>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IRPJ</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7E">
            <w:pPr>
              <w:jc w:val="right"/>
              <w:rPr>
                <w:rFonts w:ascii="Calibri" w:cs="Calibri" w:eastAsia="Calibri" w:hAnsi="Calibri"/>
                <w:b w:val="1"/>
                <w:bCs w:val="1"/>
                <w:color w:val="ffffff"/>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82">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83">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85">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666666" w:space="0" w:sz="12" w:val="single"/>
            </w:tcBorders>
            <w:shd w:fill="f1c232" w:val="clear"/>
            <w:tcMar>
              <w:top w:w="30.0" w:type="dxa"/>
              <w:left w:w="45.0" w:type="dxa"/>
              <w:bottom w:w="30.0" w:type="dxa"/>
              <w:right w:w="45.0" w:type="dxa"/>
            </w:tcMar>
            <w:vAlign w:val="bottom"/>
          </w:tcPr>
          <w:p w:rsidR="00000000" w:rsidDel="00000000" w:rsidP="00000000" w:rsidRDefault="00000000" w:rsidRPr="00000000" w14:paraId="00000088">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rHeight w:val="315" w:hRule="atLeast"/>
          <w:tblHeader w:val="0"/>
        </w:trPr>
        <w:tc>
          <w:tcPr>
            <w:tcBorders>
              <w:left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89">
            <w:pPr>
              <w:jc w:val="right"/>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TELEFONIA</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8A">
            <w:pPr>
              <w:jc w:val="right"/>
              <w:rPr>
                <w:rFonts w:ascii="Calibri" w:cs="Calibri" w:eastAsia="Calibri" w:hAnsi="Calibri"/>
                <w:b w:val="1"/>
                <w:bCs w:val="1"/>
                <w:color w:val="ffffff"/>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8F">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666666" w:space="0" w:sz="12" w:val="single"/>
            </w:tcBorders>
            <w:shd w:fill="f1c232" w:val="clear"/>
            <w:tcMar>
              <w:top w:w="30.0" w:type="dxa"/>
              <w:left w:w="45.0" w:type="dxa"/>
              <w:bottom w:w="30.0" w:type="dxa"/>
              <w:right w:w="45.0" w:type="dxa"/>
            </w:tcMar>
            <w:vAlign w:val="bottom"/>
          </w:tcPr>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rHeight w:val="315" w:hRule="atLeast"/>
          <w:tblHeader w:val="0"/>
        </w:trPr>
        <w:tc>
          <w:tcPr>
            <w:tcBorders>
              <w:left w:color="666666" w:space="0" w:sz="12" w:val="single"/>
              <w:bottom w:color="434343" w:space="0" w:sz="6"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95">
            <w:pPr>
              <w:jc w:val="right"/>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SUS</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96">
            <w:pPr>
              <w:jc w:val="right"/>
              <w:rPr>
                <w:rFonts w:ascii="Calibri" w:cs="Calibri" w:eastAsia="Calibri" w:hAnsi="Calibri"/>
                <w:b w:val="1"/>
                <w:bCs w:val="1"/>
                <w:color w:val="ffffff"/>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9B">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tl w:val="0"/>
              </w:rPr>
            </w:r>
          </w:p>
        </w:tc>
        <w:tc>
          <w:tcPr>
            <w:tcBorders>
              <w:bottom w:color="434343" w:space="0" w:sz="6" w:val="single"/>
              <w:right w:color="666666" w:space="0" w:sz="12" w:val="single"/>
            </w:tcBorders>
            <w:shd w:fill="f1c232" w:val="clear"/>
            <w:tcMar>
              <w:top w:w="30.0" w:type="dxa"/>
              <w:left w:w="45.0" w:type="dxa"/>
              <w:bottom w:w="30.0" w:type="dxa"/>
              <w:right w:w="45.0" w:type="dxa"/>
            </w:tcMar>
            <w:vAlign w:val="bottom"/>
          </w:tcPr>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r>
        <w:trPr>
          <w:cantSplit w:val="0"/>
          <w:trHeight w:val="315" w:hRule="atLeast"/>
          <w:tblHeader w:val="0"/>
        </w:trPr>
        <w:tc>
          <w:tcPr>
            <w:tcBorders>
              <w:left w:color="666666" w:space="0" w:sz="12" w:val="single"/>
              <w:bottom w:color="666666" w:space="0" w:sz="12" w:val="single"/>
              <w:right w:color="434343" w:space="0" w:sz="6" w:val="single"/>
            </w:tcBorders>
            <w:shd w:fill="666666" w:val="clear"/>
            <w:tcMar>
              <w:top w:w="30.0" w:type="dxa"/>
              <w:left w:w="45.0" w:type="dxa"/>
              <w:bottom w:w="30.0" w:type="dxa"/>
              <w:right w:w="45.0" w:type="dxa"/>
            </w:tcMar>
            <w:vAlign w:val="bottom"/>
          </w:tcPr>
          <w:p w:rsidR="00000000" w:rsidDel="00000000" w:rsidP="00000000" w:rsidRDefault="00000000" w:rsidRPr="00000000" w14:paraId="000000A1">
            <w:pPr>
              <w:jc w:val="right"/>
              <w:rPr>
                <w:rFonts w:ascii="Calibri" w:cs="Calibri" w:eastAsia="Calibri" w:hAnsi="Calibri"/>
                <w:b w:val="1"/>
                <w:bCs w:val="1"/>
                <w:color w:val="ffffff"/>
                <w:sz w:val="20"/>
                <w:szCs w:val="20"/>
              </w:rPr>
            </w:pPr>
            <w:r w:rsidDel="00000000" w:rsidR="00000000" w:rsidRPr="00000000">
              <w:rPr>
                <w:rFonts w:ascii="Calibri" w:cs="Calibri" w:eastAsia="Calibri" w:hAnsi="Calibri"/>
                <w:b w:val="1"/>
                <w:bCs w:val="1"/>
                <w:color w:val="ffffff"/>
                <w:sz w:val="20"/>
                <w:szCs w:val="20"/>
                <w:rtl w:val="0"/>
              </w:rPr>
              <w:t xml:space="preserve">FUNDEB</w:t>
            </w:r>
          </w:p>
        </w:tc>
        <w:tc>
          <w:tcPr>
            <w:tcBorders>
              <w:bottom w:color="666666" w:space="0" w:sz="12"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A2">
            <w:pPr>
              <w:jc w:val="right"/>
              <w:rPr>
                <w:rFonts w:ascii="Calibri" w:cs="Calibri" w:eastAsia="Calibri" w:hAnsi="Calibri"/>
                <w:b w:val="1"/>
                <w:bCs w:val="1"/>
                <w:color w:val="ffffff"/>
                <w:sz w:val="20"/>
                <w:szCs w:val="20"/>
              </w:rPr>
            </w:pPr>
            <w:r w:rsidDel="00000000" w:rsidR="00000000" w:rsidRPr="00000000">
              <w:rPr>
                <w:rtl w:val="0"/>
              </w:rPr>
            </w:r>
          </w:p>
        </w:tc>
        <w:tc>
          <w:tcPr>
            <w:tcBorders>
              <w:bottom w:color="666666" w:space="0" w:sz="12"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tl w:val="0"/>
              </w:rPr>
            </w:r>
          </w:p>
        </w:tc>
        <w:tc>
          <w:tcPr>
            <w:tcBorders>
              <w:bottom w:color="666666" w:space="0" w:sz="12"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tl w:val="0"/>
              </w:rPr>
            </w:r>
          </w:p>
        </w:tc>
        <w:tc>
          <w:tcPr>
            <w:tcBorders>
              <w:bottom w:color="666666" w:space="0" w:sz="12"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tc>
        <w:tc>
          <w:tcPr>
            <w:tcBorders>
              <w:bottom w:color="666666" w:space="0" w:sz="12"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tl w:val="0"/>
              </w:rPr>
            </w:r>
          </w:p>
        </w:tc>
        <w:tc>
          <w:tcPr>
            <w:tcBorders>
              <w:bottom w:color="666666" w:space="0" w:sz="12"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A7">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c>
          <w:tcPr>
            <w:tcBorders>
              <w:bottom w:color="666666" w:space="0" w:sz="12"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tl w:val="0"/>
              </w:rPr>
            </w:r>
          </w:p>
        </w:tc>
        <w:tc>
          <w:tcPr>
            <w:tcBorders>
              <w:bottom w:color="666666" w:space="0" w:sz="12"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tl w:val="0"/>
              </w:rPr>
            </w:r>
          </w:p>
        </w:tc>
        <w:tc>
          <w:tcPr>
            <w:tcBorders>
              <w:bottom w:color="666666" w:space="0" w:sz="12"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tl w:val="0"/>
              </w:rPr>
            </w:r>
          </w:p>
        </w:tc>
        <w:tc>
          <w:tcPr>
            <w:tcBorders>
              <w:bottom w:color="666666" w:space="0" w:sz="12" w:val="single"/>
              <w:right w:color="434343" w:space="0" w:sz="6" w:val="single"/>
            </w:tcBorders>
            <w:tcMar>
              <w:top w:w="30.0" w:type="dxa"/>
              <w:left w:w="45.0" w:type="dxa"/>
              <w:bottom w:w="30.0" w:type="dxa"/>
              <w:right w:w="45.0" w:type="dxa"/>
            </w:tcMar>
            <w:vAlign w:val="bottom"/>
          </w:tcPr>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tl w:val="0"/>
              </w:rPr>
            </w:r>
          </w:p>
        </w:tc>
        <w:tc>
          <w:tcPr>
            <w:tcBorders>
              <w:bottom w:color="666666" w:space="0" w:sz="12" w:val="single"/>
              <w:right w:color="666666" w:space="0" w:sz="12" w:val="single"/>
            </w:tcBorders>
            <w:shd w:fill="f1c232" w:val="clear"/>
            <w:tcMar>
              <w:top w:w="30.0" w:type="dxa"/>
              <w:left w:w="45.0" w:type="dxa"/>
              <w:bottom w:w="30.0" w:type="dxa"/>
              <w:right w:w="45.0" w:type="dxa"/>
            </w:tcMar>
            <w:vAlign w:val="bottom"/>
          </w:tcPr>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w:t>
            </w:r>
          </w:p>
        </w:tc>
      </w:tr>
    </w:tbl>
    <w:p w:rsidR="00000000" w:rsidDel="00000000" w:rsidP="00000000" w:rsidRDefault="00000000" w:rsidRPr="00000000" w14:paraId="000000AD">
      <w:pPr>
        <w:spacing w:after="120" w:before="120" w:line="276" w:lineRule="auto"/>
        <w:jc w:val="both"/>
        <w:rPr/>
      </w:pPr>
      <w:r w:rsidDel="00000000" w:rsidR="00000000" w:rsidRPr="00000000">
        <w:rPr>
          <w:rtl w:val="0"/>
        </w:rPr>
      </w:r>
    </w:p>
    <w:p w:rsidR="00000000" w:rsidDel="00000000" w:rsidP="00000000" w:rsidRDefault="00000000" w:rsidRPr="00000000" w14:paraId="000000AE">
      <w:pPr>
        <w:spacing w:after="120" w:before="120" w:line="276" w:lineRule="auto"/>
        <w:jc w:val="both"/>
        <w:rPr/>
      </w:pPr>
      <w:r w:rsidDel="00000000" w:rsidR="00000000" w:rsidRPr="00000000">
        <w:rPr>
          <w:rtl w:val="0"/>
        </w:rPr>
        <w:t xml:space="preserve"> Classificação do objeto quanto à heterogeneidade ou complexidade</w:t>
      </w:r>
    </w:p>
    <w:p w:rsidR="00000000" w:rsidDel="00000000" w:rsidP="00000000" w:rsidRDefault="00000000" w:rsidRPr="00000000" w14:paraId="000000A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bookmarkStart w:colFirst="0" w:colLast="0" w:name="_heading=h.7c45nhryime3" w:id="5"/>
      <w:bookmarkEnd w:id="5"/>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objeto da contratação tem a natureza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serviços especiais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conforme justificativa constante do Estudo Técnico Preliminar.</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Classificação do objeto quanto ao modelo de execução</w:t>
      </w:r>
    </w:p>
    <w:p w:rsidR="00000000" w:rsidDel="00000000" w:rsidP="00000000" w:rsidRDefault="00000000" w:rsidRPr="00000000" w14:paraId="000000B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serviço é enquadrado como não contínuo ou contratados por escopo.</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Prazo de vigência</w:t>
      </w:r>
    </w:p>
    <w:p w:rsidR="00000000" w:rsidDel="00000000" w:rsidP="00000000" w:rsidRDefault="00000000" w:rsidRPr="00000000" w14:paraId="000000B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prazo de vigência da contratação é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12 (doze) meses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contados da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publicação do extrato no diário oficial</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na forma do artigo 105 da Lei n° 14.133, de 2021.</w:t>
      </w:r>
    </w:p>
    <w:p w:rsidR="00000000" w:rsidDel="00000000" w:rsidP="00000000" w:rsidRDefault="00000000" w:rsidRPr="00000000" w14:paraId="000000B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ou outro instrumento hábil que o substitua oferece maior detalhamento das regras que serão aplicadas em relação à vigência da contratação.</w:t>
      </w:r>
    </w:p>
    <w:p w:rsidR="00000000" w:rsidDel="00000000" w:rsidP="00000000" w:rsidRDefault="00000000" w:rsidRPr="00000000" w14:paraId="000000B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FUNDAMENTAÇÃO E DESCRIÇÃO DA NECESSIDADE DA CONTRATAÇÃO</w:t>
      </w:r>
    </w:p>
    <w:p w:rsidR="00000000" w:rsidDel="00000000" w:rsidP="00000000" w:rsidRDefault="00000000" w:rsidRPr="00000000" w14:paraId="000000B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Fundamentação da Contratação e de seus quantitativos encontra-se pormenorizada em tópico específico dos Estudos Técnicos Preliminares, apêndice deste Termo de Referência.</w:t>
      </w:r>
    </w:p>
    <w:p w:rsidR="00000000" w:rsidDel="00000000" w:rsidP="00000000" w:rsidRDefault="00000000" w:rsidRPr="00000000" w14:paraId="000000B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objeto da contratação conta com previsão no Plano de Contratações Anual conforme procedimento determinado nos Estudos Técnicos Preliminares, apêndice deste Termo de Referência.</w:t>
      </w:r>
    </w:p>
    <w:p w:rsidR="00000000" w:rsidDel="00000000" w:rsidP="00000000" w:rsidRDefault="00000000" w:rsidRPr="00000000" w14:paraId="000000B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DESCRIÇÃO DA SOLUÇÃO COMO UM TODO CONSIDERADO O CICLO DE VIDA DO OBJETO</w:t>
      </w:r>
    </w:p>
    <w:p w:rsidR="00000000" w:rsidDel="00000000" w:rsidP="00000000" w:rsidRDefault="00000000" w:rsidRPr="00000000" w14:paraId="000000B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bookmarkStart w:colFirst="0" w:colLast="0" w:name="_heading=h.2lr2tn71xeea" w:id="6"/>
      <w:bookmarkEnd w:id="6"/>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descrição da solução como um todo encontra-se pormenorizada em tópico específico dos Estudos Técnicos Preliminares, apêndice deste Termo de Referência.</w:t>
      </w:r>
    </w:p>
    <w:p w:rsidR="00000000" w:rsidDel="00000000" w:rsidP="00000000" w:rsidRDefault="00000000" w:rsidRPr="00000000" w14:paraId="000000BA">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REQUISITOS DA CONTRATAÇÃO</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Subcontratação</w:t>
      </w:r>
    </w:p>
    <w:p w:rsidR="00000000" w:rsidDel="00000000" w:rsidP="00000000" w:rsidRDefault="00000000" w:rsidRPr="00000000" w14:paraId="000000B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Não será admitida a subcontratação do objeto contratual.</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Garantia da contratação</w:t>
      </w:r>
    </w:p>
    <w:p w:rsidR="00000000" w:rsidDel="00000000" w:rsidP="00000000" w:rsidRDefault="00000000" w:rsidRPr="00000000" w14:paraId="000000B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Não haverá exigência da garantia da contratação dos art. 96 e seguintes da Lei nº 14.133, de 2021, pelas razões constantes do Estudo Técnico Preliminar.</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Vistoria</w:t>
      </w:r>
    </w:p>
    <w:p w:rsidR="00000000" w:rsidDel="00000000" w:rsidP="00000000" w:rsidRDefault="00000000" w:rsidRPr="00000000" w14:paraId="000000C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Não há necessidade de realização de avaliação prévia do local de execução dos serviços.</w:t>
      </w:r>
    </w:p>
    <w:p w:rsidR="00000000" w:rsidDel="00000000" w:rsidP="00000000" w:rsidRDefault="00000000" w:rsidRPr="00000000" w14:paraId="000000C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MODELO DE EXECUÇÃO DO OBJETO</w:t>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Condições de execução</w:t>
      </w:r>
    </w:p>
    <w:p w:rsidR="00000000" w:rsidDel="00000000" w:rsidP="00000000" w:rsidRDefault="00000000" w:rsidRPr="00000000" w14:paraId="000000C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execução do objeto seguirá a seguinte dinâmica:</w:t>
      </w:r>
    </w:p>
    <w:p w:rsidR="00000000" w:rsidDel="00000000" w:rsidP="00000000" w:rsidRDefault="00000000" w:rsidRPr="00000000" w14:paraId="000000C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Início da execução do objeto: em até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02</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(dois) dias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da emissão da ordem de serviço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C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descrição detalhada dos métodos, rotinas, etapas, tecnologias procedimentos, frequência e periodicidade de execução do trabalho encontram-se detalhadas no ETP.</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Local e horário da prestação dos serviços</w:t>
      </w:r>
    </w:p>
    <w:p w:rsidR="00000000" w:rsidDel="00000000" w:rsidP="00000000" w:rsidRDefault="00000000" w:rsidRPr="00000000" w14:paraId="000000C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serviços serão prestados remota e presencialmente, conforme necessidade no endereço do contratante;</w:t>
      </w:r>
    </w:p>
    <w:p w:rsidR="00000000" w:rsidDel="00000000" w:rsidP="00000000" w:rsidRDefault="00000000" w:rsidRPr="00000000" w14:paraId="000000C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serviços de atendimento serão prestados em horário de funcionamento do município contratante, enquanto os demais serviços serão executados em horários conforme discricionariedade do contratado.</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Rotinas a serem cumpridas</w:t>
      </w:r>
    </w:p>
    <w:p w:rsidR="00000000" w:rsidDel="00000000" w:rsidP="00000000" w:rsidRDefault="00000000" w:rsidRPr="00000000" w14:paraId="000000C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execução contratual observará as rotinas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listadas no Estudo Técnico Preliminar.</w:t>
      </w: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Materiais a serem disponibilizados</w:t>
      </w:r>
    </w:p>
    <w:p w:rsidR="00000000" w:rsidDel="00000000" w:rsidP="00000000" w:rsidRDefault="00000000" w:rsidRPr="00000000" w14:paraId="000000C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Para a perfeita execução dos serviços, o Contratado se responsabilizará pelos próprios materiais, equipamentos, ferramentas e utensílios necessários à execução dos serviços.</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Informações relevantes para o dimensionamento da proposta</w:t>
      </w:r>
    </w:p>
    <w:p w:rsidR="00000000" w:rsidDel="00000000" w:rsidP="00000000" w:rsidRDefault="00000000" w:rsidRPr="00000000" w14:paraId="000000C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demanda do órgão tem como base as seguintes características, conforme detalhamento do ETP:</w:t>
      </w:r>
    </w:p>
    <w:p w:rsidR="00000000" w:rsidDel="00000000" w:rsidP="00000000" w:rsidRDefault="00000000" w:rsidRPr="00000000" w14:paraId="000000C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Qualificação técnica do quadro de fiscais da Prefeitura;</w:t>
      </w:r>
    </w:p>
    <w:p w:rsidR="00000000" w:rsidDel="00000000" w:rsidP="00000000" w:rsidRDefault="00000000" w:rsidRPr="00000000" w14:paraId="000000D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Estabelecimento de metodologia e regras próprias de fiscalização na Prefeitura de forma administrativo e/ou judicial);</w:t>
      </w:r>
    </w:p>
    <w:p w:rsidR="00000000" w:rsidDel="00000000" w:rsidP="00000000" w:rsidRDefault="00000000" w:rsidRPr="00000000" w14:paraId="000000D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Levantamento, apuração, ajustes, recuperação e regularização de valores pagos indevidamente na PREVIDÊNCIA GERAL (RGPS/INSS) de forma administrativo e/ou judicial);</w:t>
      </w:r>
    </w:p>
    <w:p w:rsidR="00000000" w:rsidDel="00000000" w:rsidP="00000000" w:rsidRDefault="00000000" w:rsidRPr="00000000" w14:paraId="000000D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Levantamento, apuração, adequação e compensação de contribuições relativas ao RAT, com aplicação do FAP e enquadramento por atividade preponderante forma administrativo e/ou judicial);</w:t>
      </w:r>
    </w:p>
    <w:p w:rsidR="00000000" w:rsidDel="00000000" w:rsidP="00000000" w:rsidRDefault="00000000" w:rsidRPr="00000000" w14:paraId="000000D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Levantamento, apuração, recuperação e compensação de contribuições ao PASEP, com revisão da base de cálculo e exclusões cabíveis de forma administrativo e/ou judicial);</w:t>
      </w:r>
    </w:p>
    <w:p w:rsidR="00000000" w:rsidDel="00000000" w:rsidP="00000000" w:rsidRDefault="00000000" w:rsidRPr="00000000" w14:paraId="000000D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Levantamento, diagnóstico, verificação de conformidade, ajustes e regularizações no âmbito da PREVIDÊNCIA PRÓPRIA (RPPS);</w:t>
      </w:r>
    </w:p>
    <w:p w:rsidR="00000000" w:rsidDel="00000000" w:rsidP="00000000" w:rsidRDefault="00000000" w:rsidRPr="00000000" w14:paraId="000000D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Levantamento, apuração, identificação de diferenças, ajustes e recuperação de valores referentes ao IRPJ, conforme a legislação aplicável de forma administrativo e/ou judicial);</w:t>
      </w:r>
    </w:p>
    <w:p w:rsidR="00000000" w:rsidDel="00000000" w:rsidP="00000000" w:rsidRDefault="00000000" w:rsidRPr="00000000" w14:paraId="000000D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Levantamento, cadastramento in loco, apuração de passivos, cobrança administrativa e recuperação de créditos vinculados à TELEFONIA, incluindo TFF, TLA e Habite-se de torres.</w:t>
      </w:r>
    </w:p>
    <w:p w:rsidR="00000000" w:rsidDel="00000000" w:rsidP="00000000" w:rsidRDefault="00000000" w:rsidRPr="00000000" w14:paraId="000000D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Levantamento, apuração, identificação de diferenças, ajustes e recuperação de valores referentes ao SUS, conforme a legislação aplicável (administrativo e ou judicial).;</w:t>
      </w:r>
    </w:p>
    <w:p w:rsidR="00000000" w:rsidDel="00000000" w:rsidP="00000000" w:rsidRDefault="00000000" w:rsidRPr="00000000" w14:paraId="000000D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Levantamento, apuração, identificação de diferenças, ajustes e recuperação de valores referentes ao FUNDEB, conforme a legislação aplicável (administrativo e ou judicial).;</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Especificação da garantia do serviço</w:t>
      </w:r>
    </w:p>
    <w:p w:rsidR="00000000" w:rsidDel="00000000" w:rsidP="00000000" w:rsidRDefault="00000000" w:rsidRPr="00000000" w14:paraId="000000D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prazo de garantia contratual dos serviços, complementar à garantia legal da Lei nº 8.078, de 11 de setembro de 1990 (Código de Defesa do Consumidor), permanecerá vigente até a efetiva pacificação do crédito recuperado, entendida como o decurso integral dos prazos legais de revisão pelos órgãos competentes, sem alteração do resultado, ou, havendo revisão, a prolação de decisão administrativa final favorável que mantenha, no todo, o crédito apurado e/ou compensado. Durante o prazo de garantia, a contratada obriga-se, sem ônus adicional, a prestar assistência técnica continuada, promover retificações, reapresentações e defesas necessárias ao saneamento de exigências, intimações ou glosas, respondendo por eventuais prejuízos decorrentes de erro técnico ou omissão de sua responsabilidade, sem prejuízo das glosas, compensações em medições futuras e sanções cabíveis.</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Procedimentos de transição e finalização do contrato</w:t>
      </w:r>
    </w:p>
    <w:p w:rsidR="00000000" w:rsidDel="00000000" w:rsidP="00000000" w:rsidRDefault="00000000" w:rsidRPr="00000000" w14:paraId="000000D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Os procedimentos de transição e finalização do contrato constituem-se das seguintes etapas:</w:t>
      </w:r>
    </w:p>
    <w:p w:rsidR="00000000" w:rsidDel="00000000" w:rsidP="00000000" w:rsidRDefault="00000000" w:rsidRPr="00000000" w14:paraId="000000D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Entrega final e transferência de conhecimento</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com:</w:t>
      </w:r>
    </w:p>
    <w:p w:rsidR="00000000" w:rsidDel="00000000" w:rsidP="00000000" w:rsidRDefault="00000000" w:rsidRPr="00000000" w14:paraId="000000D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 disponibilização, em mídia eletrônica e formato aberto (CSV, XLSX, PDF/A, XML), de todas as bases tratadas, memórias de cálculo, planilhas, pareceres e relatórios produzidos (R1, R2) e respectivos comprovantes de protocolo e homologação/compensação (CP, CH);</w:t>
      </w:r>
    </w:p>
    <w:p w:rsidR="00000000" w:rsidDel="00000000" w:rsidP="00000000" w:rsidRDefault="00000000" w:rsidRPr="00000000" w14:paraId="000000E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(ii) entrega dos dossiês por rubrica (Previdência Geral, RAT, PASEP, RPPS, IRPJ, Telefonia, SUS e FUNDEB) contendo lista de pendências, prazos legais, respprazoonsáveis e status;</w:t>
      </w:r>
    </w:p>
    <w:p w:rsidR="00000000" w:rsidDel="00000000" w:rsidP="00000000" w:rsidRDefault="00000000" w:rsidRPr="00000000" w14:paraId="000000E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(iii) sessão de transferência de conhecimento aos fiscais/gestor, com ata e lista de presença.</w:t>
      </w:r>
    </w:p>
    <w:p w:rsidR="00000000" w:rsidDel="00000000" w:rsidP="00000000" w:rsidRDefault="00000000" w:rsidRPr="00000000" w14:paraId="000000E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5.8.2 Encerramento operacional, portabilidade e gestão de acessos, com:</w:t>
      </w:r>
      <w:r w:rsidDel="00000000" w:rsidR="00000000" w:rsidRPr="00000000">
        <w:rPr>
          <w:rtl w:val="0"/>
        </w:rPr>
      </w:r>
    </w:p>
    <w:p w:rsidR="00000000" w:rsidDel="00000000" w:rsidP="00000000" w:rsidRDefault="00000000" w:rsidRPr="00000000" w14:paraId="000000E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 confirmação de portabilidade e integridade dos dados entregues, incluindo dicionário de dados e trilhas de auditoria;</w:t>
      </w:r>
    </w:p>
    <w:p w:rsidR="00000000" w:rsidDel="00000000" w:rsidP="00000000" w:rsidRDefault="00000000" w:rsidRPr="00000000" w14:paraId="000000E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(ii) revogação/ajuste de acessos e perfis utilizados nos sistemas (e-CAC, eSocial, DCTFWeb, Conectividade Social/CEF e congêneres), com relatório de encerramento;</w:t>
      </w:r>
    </w:p>
    <w:p w:rsidR="00000000" w:rsidDel="00000000" w:rsidP="00000000" w:rsidRDefault="00000000" w:rsidRPr="00000000" w14:paraId="000000E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(iii) tratamento de dados pessoais conforme LGPD: devolução ou eliminação segura dos dados da Administração em até 10 (dez) dias úteis, preservadas obrigações legais de guarda;</w:t>
      </w:r>
    </w:p>
    <w:p w:rsidR="00000000" w:rsidDel="00000000" w:rsidP="00000000" w:rsidRDefault="00000000" w:rsidRPr="00000000" w14:paraId="000000E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(iv) emissão do Termo de Encerramento e do Recebimento Definitivo, com glosas/compensações que couberem.</w:t>
      </w:r>
    </w:p>
    <w:p w:rsidR="00000000" w:rsidDel="00000000" w:rsidP="00000000" w:rsidRDefault="00000000" w:rsidRPr="00000000" w14:paraId="000000E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Assistência técnica durante a garantia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compreendendo:</w:t>
      </w:r>
    </w:p>
    <w:p w:rsidR="00000000" w:rsidDel="00000000" w:rsidP="00000000" w:rsidRDefault="00000000" w:rsidRPr="00000000" w14:paraId="000000E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acompanhamento integral</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de exigências, intimações 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glosas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relativas a protocolos apresentados na vigência, com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retificações e reapresentações sem ônus adicional</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(ii)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SLA</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de resposta técnica em até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5 (cinco) dias úteis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e reapresentação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no prazo legal</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do órgão competente;</w:t>
      </w:r>
    </w:p>
    <w:p w:rsidR="00000000" w:rsidDel="00000000" w:rsidP="00000000" w:rsidRDefault="00000000" w:rsidRPr="00000000" w14:paraId="000000E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(iii) responsabilidade da contratada por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correção de erros ou omissões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que lhe sejam imputáveis, com possibilidade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compensação em medições futuras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e aplicação das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sanções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cabíveis;</w:t>
      </w:r>
    </w:p>
    <w:p w:rsidR="00000000" w:rsidDel="00000000" w:rsidP="00000000" w:rsidRDefault="00000000" w:rsidRPr="00000000" w14:paraId="000000E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(iv) manutenção da assistência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até a pacificação do crédito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nos termos da cláusula de garantia (item 5.6).</w:t>
      </w:r>
    </w:p>
    <w:p w:rsidR="00000000" w:rsidDel="00000000" w:rsidP="00000000" w:rsidRDefault="00000000" w:rsidRPr="00000000" w14:paraId="000000E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As obrigações deste item são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indissociáveis do objeto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e não geram custo adicional, permanecendo vigentes durante o prazo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garantia contratual</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e até a conclusão dos registros e baixas necessários à plena eficácia dos créditos reavidos.</w:t>
      </w:r>
    </w:p>
    <w:p w:rsidR="00000000" w:rsidDel="00000000" w:rsidP="00000000" w:rsidRDefault="00000000" w:rsidRPr="00000000" w14:paraId="000000E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MODELO DE GESTÃO DO CONTRATO</w:t>
      </w:r>
    </w:p>
    <w:p w:rsidR="00000000" w:rsidDel="00000000" w:rsidP="00000000" w:rsidRDefault="00000000" w:rsidRPr="00000000" w14:paraId="000000E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contrato deverá ser executado fielmente pelas partes, de acordo com as cláusulas avençadas e as normas da Lei nº 14.133, de 2021, e cada parte responderá pelas consequências de sua inexecução total ou parcial.</w:t>
      </w:r>
    </w:p>
    <w:p w:rsidR="00000000" w:rsidDel="00000000" w:rsidP="00000000" w:rsidRDefault="00000000" w:rsidRPr="00000000" w14:paraId="000000E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 caso de impedimento, ordem de paralisação ou suspensão do contrato, o cronograma de execução será prorrogado automaticamente pelo tempo correspondente, anotadas tais circunstâncias mediante simples apostila.</w:t>
      </w:r>
    </w:p>
    <w:p w:rsidR="00000000" w:rsidDel="00000000" w:rsidP="00000000" w:rsidRDefault="00000000" w:rsidRPr="00000000" w14:paraId="000000F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comunicações entre o órgão ou entidade e o Contratado devem ser realizadas por escrito sempre que o ato exigir tal formalidade, admitindo-se o uso de mensagem eletrônica para esse fim.</w:t>
      </w:r>
    </w:p>
    <w:p w:rsidR="00000000" w:rsidDel="00000000" w:rsidP="00000000" w:rsidRDefault="00000000" w:rsidRPr="00000000" w14:paraId="000000F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órgão ou entidade poderá convocar o preposto da empresa para adoção de providências que devam ser cumpridas de imediato.</w:t>
      </w:r>
    </w:p>
    <w:p w:rsidR="00000000" w:rsidDel="00000000" w:rsidP="00000000" w:rsidRDefault="00000000" w:rsidRPr="00000000" w14:paraId="000000F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do Contratado, quando houver, do método de aferição dos resultados e das sanções aplicáveis, dentre outros.</w:t>
      </w:r>
    </w:p>
    <w:p w:rsidR="00000000" w:rsidDel="00000000" w:rsidP="00000000" w:rsidRDefault="00000000" w:rsidRPr="00000000" w14:paraId="000000F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Preposto</w:t>
      </w:r>
    </w:p>
    <w:p w:rsidR="00000000" w:rsidDel="00000000" w:rsidP="00000000" w:rsidRDefault="00000000" w:rsidRPr="00000000" w14:paraId="000000F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designará formalmente o preposto da empresa, antes do início da prestação dos serviços, indicando no instrumento os poderes e deveres em relação à execução do objeto Contratado.</w:t>
      </w:r>
    </w:p>
    <w:p w:rsidR="00000000" w:rsidDel="00000000" w:rsidP="00000000" w:rsidRDefault="00000000" w:rsidRPr="00000000" w14:paraId="000000F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não necessitará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manter preposto da empresa no local da execução do objeto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durante o período de execução contratual.</w:t>
      </w:r>
    </w:p>
    <w:p w:rsidR="00000000" w:rsidDel="00000000" w:rsidP="00000000" w:rsidRDefault="00000000" w:rsidRPr="00000000" w14:paraId="000000F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Contratante poderá recusar, desde que justificadamente, a indicação ou a manutenção do preposto da empresa, hipótese em que o Contratado designará outro para o exercício da atividade.</w:t>
      </w:r>
    </w:p>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Rotinas de Fiscalização</w:t>
      </w:r>
    </w:p>
    <w:p w:rsidR="00000000" w:rsidDel="00000000" w:rsidP="00000000" w:rsidRDefault="00000000" w:rsidRPr="00000000" w14:paraId="000000F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execução do contrato deverá ser acompanhada e fiscalizada pelo(s) fiscal(is) do contrato, ou pelos respectivos substitutos.</w:t>
      </w:r>
    </w:p>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Fiscalização Técnica</w:t>
      </w:r>
    </w:p>
    <w:p w:rsidR="00000000" w:rsidDel="00000000" w:rsidP="00000000" w:rsidRDefault="00000000" w:rsidRPr="00000000" w14:paraId="000000F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técnico do contrato acompanhará a execução do contrato, para que sejam cumpridas todas as condições estabelecidas no contrato, de modo a assegurar os melhores resultados para a Administração.</w:t>
      </w:r>
    </w:p>
    <w:p w:rsidR="00000000" w:rsidDel="00000000" w:rsidP="00000000" w:rsidRDefault="00000000" w:rsidRPr="00000000" w14:paraId="000000F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técnico do contrato anotará no histórico de gerenciamento do contrato todas as ocorrências relacionadas à execução do contrato, com a descrição do que for necessário para a regularização das faltas ou dos defeitos observados.</w:t>
      </w:r>
    </w:p>
    <w:p w:rsidR="00000000" w:rsidDel="00000000" w:rsidP="00000000" w:rsidRDefault="00000000" w:rsidRPr="00000000" w14:paraId="000000F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Identificada qualquer inexatidão ou irregularidade, o fiscal técnico do contrato emitirá notificações para a correção da execução do contrato, determinando prazo para a correção.</w:t>
      </w:r>
    </w:p>
    <w:p w:rsidR="00000000" w:rsidDel="00000000" w:rsidP="00000000" w:rsidRDefault="00000000" w:rsidRPr="00000000" w14:paraId="000000F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técnico do contrato informará ao gestor do contato, em tempo hábil, a situação que demandar decisão ou adoção de medidas que ultrapassem sua competência, para que adote as medidas necessárias e saneadoras, se for o caso.</w:t>
      </w:r>
    </w:p>
    <w:p w:rsidR="00000000" w:rsidDel="00000000" w:rsidP="00000000" w:rsidRDefault="00000000" w:rsidRPr="00000000" w14:paraId="000000F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caso de ocorrências que possam inviabilizar a execução do contrato nas datas aprazadas, o fiscal técnico do contrato comunicará o fato imediatamente ao gestor do contrato.</w:t>
      </w:r>
    </w:p>
    <w:p w:rsidR="00000000" w:rsidDel="00000000" w:rsidP="00000000" w:rsidRDefault="00000000" w:rsidRPr="00000000" w14:paraId="000000F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técnico do contrato comunicará ao gestor do contrato, em tempo hábil, o término do contrato sob sua responsabilidade, com vistas à tempestiva renovação ou à prorrogação contratual.</w:t>
      </w:r>
    </w:p>
    <w:p w:rsidR="00000000" w:rsidDel="00000000" w:rsidP="00000000" w:rsidRDefault="00000000" w:rsidRPr="00000000" w14:paraId="0000010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fiscalização de que trata esta cláusula não exclui nem reduz a responsabilidade do Contratado, inclusive perante terceiros, por qualquer irregularidade, ainda que resultante de imperfeições técnicas, vícios redibitórios, ou emprego de material inadequado ou de qualidade inferior e, na ocorrência desta, não implica corresponsabilidade do Contratante ou de seus agentes, gestores e fiscais, de conformidade. </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Fiscalização Administrativa</w:t>
      </w:r>
    </w:p>
    <w:p w:rsidR="00000000" w:rsidDel="00000000" w:rsidP="00000000" w:rsidRDefault="00000000" w:rsidRPr="00000000" w14:paraId="0000010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000000" w:rsidDel="00000000" w:rsidP="00000000" w:rsidRDefault="00000000" w:rsidRPr="00000000" w14:paraId="0000010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ocorra descumprimento das obrigações contratuais, o fiscal administrativo do contrato atuará tempestivamente na solução do problema, reportando ao gestor do contrato para que tome as providências cabíveis, quando ultrapassar a sua competência.</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Gestor do Contrato</w:t>
      </w:r>
    </w:p>
    <w:p w:rsidR="00000000" w:rsidDel="00000000" w:rsidP="00000000" w:rsidRDefault="00000000" w:rsidRPr="00000000" w14:paraId="0000010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Cabe ao gestor do contrato:</w:t>
      </w:r>
    </w:p>
    <w:p w:rsidR="00000000" w:rsidDel="00000000" w:rsidP="00000000" w:rsidRDefault="00000000" w:rsidRPr="00000000" w14:paraId="000001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000000" w:rsidDel="00000000" w:rsidP="00000000" w:rsidRDefault="00000000" w:rsidRPr="00000000" w14:paraId="0000010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acompanhar os registros realizados pelos fiscais do contrato, de todas as ocorrências relacionadas à execução do contrato e as medidas adotadas, informando, se for o caso, à autoridade superior àquelas que ultrapassarem a sua competência.</w:t>
      </w:r>
    </w:p>
    <w:p w:rsidR="00000000" w:rsidDel="00000000" w:rsidP="00000000" w:rsidRDefault="00000000" w:rsidRPr="00000000" w14:paraId="0000010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acompanhar a manutenção das condições de habilitação da contratada, para fins de empenho de despesa e pagamento, e anotará os problemas que obstem o fluxo normal da liquidação e do pagamento da despesa no relatório de riscos eventuais.</w:t>
      </w:r>
    </w:p>
    <w:p w:rsidR="00000000" w:rsidDel="00000000" w:rsidP="00000000" w:rsidRDefault="00000000" w:rsidRPr="00000000" w14:paraId="0000010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000000" w:rsidDel="00000000" w:rsidP="00000000" w:rsidRDefault="00000000" w:rsidRPr="00000000" w14:paraId="0000010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000000" w:rsidDel="00000000" w:rsidP="00000000" w:rsidRDefault="00000000" w:rsidRPr="00000000" w14:paraId="0000010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elaborar relatório final com informações sobre a consecução dos objetivos que tenham justificado a contratação e eventuais condutas a serem adotadas para o aprimoramento das atividades da Administração.</w:t>
      </w:r>
    </w:p>
    <w:p w:rsidR="00000000" w:rsidDel="00000000" w:rsidP="00000000" w:rsidRDefault="00000000" w:rsidRPr="00000000" w14:paraId="0000010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enviar a documentação pertinente ao setor de contratos para a formalização dos procedimentos de liquidação e pagamento, com a indicação expressa de que o valor da Nota Fiscal emitida pela contratada confere com o valor dimensionado pela fiscalização e gestão no recebimento definitivo do serviço.</w:t>
      </w:r>
    </w:p>
    <w:p w:rsidR="00000000" w:rsidDel="00000000" w:rsidP="00000000" w:rsidRDefault="00000000" w:rsidRPr="00000000" w14:paraId="0000010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receber e dar encaminhamento imediato:</w:t>
      </w:r>
    </w:p>
    <w:p w:rsidR="00000000" w:rsidDel="00000000" w:rsidP="00000000" w:rsidRDefault="00000000" w:rsidRPr="00000000" w14:paraId="0000010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às denúncias de discriminação, violência e assédio no ambiente de trabalho, conforme o art. 2º, inciso III, do Decreto n.º 12.174/2024; </w:t>
      </w:r>
    </w:p>
    <w:p w:rsidR="00000000" w:rsidDel="00000000" w:rsidP="00000000" w:rsidRDefault="00000000" w:rsidRPr="00000000" w14:paraId="0000010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à notificação formal de que a empresa contratada está descumprindo suas obrigações trabalhistas, enviada pelo trabalhador, sindicato, Ministério do Trabalho, Ministério Público, Defensoria Pública ou por qualquer outro meio idôneo.</w:t>
        <w:tab/>
      </w:r>
    </w:p>
    <w:p w:rsidR="00000000" w:rsidDel="00000000" w:rsidP="00000000" w:rsidRDefault="00000000" w:rsidRPr="00000000" w14:paraId="0000011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CRITÉRIOS DE MEDIÇÃO E PAGAMENTO</w:t>
      </w:r>
    </w:p>
    <w:p w:rsidR="00000000" w:rsidDel="00000000" w:rsidP="00000000" w:rsidRDefault="00000000" w:rsidRPr="00000000" w14:paraId="0000011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avaliação da execução do objeto utilizará o disposto nesta seção.</w:t>
      </w:r>
    </w:p>
    <w:p w:rsidR="00000000" w:rsidDel="00000000" w:rsidP="00000000" w:rsidRDefault="00000000" w:rsidRPr="00000000" w14:paraId="0000011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indicada a retenção ou glosa no pagamento, proporcional à irregularidade verificada, sem prejuízo das sanções cabíveis, caso se constate que o Contratado:</w:t>
      </w:r>
    </w:p>
    <w:p w:rsidR="00000000" w:rsidDel="00000000" w:rsidP="00000000" w:rsidRDefault="00000000" w:rsidRPr="00000000" w14:paraId="0000011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produziu os resultados acordados,</w:t>
      </w:r>
    </w:p>
    <w:p w:rsidR="00000000" w:rsidDel="00000000" w:rsidP="00000000" w:rsidRDefault="00000000" w:rsidRPr="00000000" w14:paraId="0000011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deixou de executar, ou não executou com a qualidade mínima exigida as atividades contratadas; ou</w:t>
      </w:r>
    </w:p>
    <w:p w:rsidR="00000000" w:rsidDel="00000000" w:rsidP="00000000" w:rsidRDefault="00000000" w:rsidRPr="00000000" w14:paraId="000001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deixou de utilizar materiais e recursos humanos exigidos para a execução do serviço, ou os utilizou com qualidade ou quantidade inferior à demandada.</w:t>
      </w:r>
    </w:p>
    <w:p w:rsidR="00000000" w:rsidDel="00000000" w:rsidP="00000000" w:rsidRDefault="00000000" w:rsidRPr="00000000" w14:paraId="0000011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aferição da execução contratual para fins de pagamento considerará os seguintes critérios: </w:t>
      </w:r>
    </w:p>
    <w:p w:rsidR="00000000" w:rsidDel="00000000" w:rsidP="00000000" w:rsidRDefault="00000000" w:rsidRPr="00000000" w14:paraId="0000011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Critério de elegibilidade do pagamento por resultado; considera-se apta à medição a entrega cuja eficácia esteja comprovada por resultado:</w:t>
      </w:r>
    </w:p>
    <w:p w:rsidR="00000000" w:rsidDel="00000000" w:rsidP="00000000" w:rsidRDefault="00000000" w:rsidRPr="00000000" w14:paraId="0000011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 crédito homologado ou compensado em favor do Município perante o órgão competente;</w:t>
      </w:r>
    </w:p>
    <w:p w:rsidR="00000000" w:rsidDel="00000000" w:rsidP="00000000" w:rsidRDefault="00000000" w:rsidRPr="00000000" w14:paraId="0000011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(ii) medição sempre por Município e por rubrica vedado o duplo cômputo de valores;</w:t>
      </w:r>
    </w:p>
    <w:p w:rsidR="00000000" w:rsidDel="00000000" w:rsidP="00000000" w:rsidRDefault="00000000" w:rsidRPr="00000000" w14:paraId="0000011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(iii) valor líquido efetivamente recuperado entendido como o montante reconhecido/homologado e creditado ou compensado em favor do Município, deduzidos estornos, glosas definitivas e compensações unilaterais supervenientes não imputáveis à atuação da contratada.</w:t>
      </w:r>
    </w:p>
    <w:p w:rsidR="00000000" w:rsidDel="00000000" w:rsidP="00000000" w:rsidRDefault="00000000" w:rsidRPr="00000000" w14:paraId="0000011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Critério documental e de aceite formal; a aferição exige a apresentação, para cada rubrica e Município, de:</w:t>
      </w:r>
    </w:p>
    <w:p w:rsidR="00000000" w:rsidDel="00000000" w:rsidP="00000000" w:rsidRDefault="00000000" w:rsidRPr="00000000" w14:paraId="000001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 Relatório de Auditoria (R2) e memórias de cálculo correspondentes;</w:t>
      </w:r>
    </w:p>
    <w:p w:rsidR="00000000" w:rsidDel="00000000" w:rsidP="00000000" w:rsidRDefault="00000000" w:rsidRPr="00000000" w14:paraId="000001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(ii) Comprovantes de Protocolo (CP) e respectivos CH;</w:t>
      </w:r>
    </w:p>
    <w:p w:rsidR="00000000" w:rsidDel="00000000" w:rsidP="00000000" w:rsidRDefault="00000000" w:rsidRPr="00000000" w14:paraId="000001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(iii) conciliação contábil do crédito com os registros fazendários/contábeis municipais;</w:t>
      </w:r>
    </w:p>
    <w:p w:rsidR="00000000" w:rsidDel="00000000" w:rsidP="00000000" w:rsidRDefault="00000000" w:rsidRPr="00000000" w14:paraId="0000011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(iv) atesto do gestor/fiscal do contrato quanto à aderência técnica e à rastreabilidade das entregas, com emissão do Recebimento Provisório e, na sequência, do Recebimento Definitivo;</w:t>
      </w:r>
    </w:p>
    <w:p w:rsidR="00000000" w:rsidDel="00000000" w:rsidP="00000000" w:rsidRDefault="00000000" w:rsidRPr="00000000" w14:paraId="0000012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(v) emissão da nota fiscal alinhada à medição aprovada. O pagamento observará o prazo contratual contado do atesto do recebimento.</w:t>
      </w:r>
    </w:p>
    <w:p w:rsidR="00000000" w:rsidDel="00000000" w:rsidP="00000000" w:rsidRDefault="00000000" w:rsidRPr="00000000" w14:paraId="000001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Critério de ajustes, glosas e assistência técnica; constatadas inconformidades, o fiscal poderá:</w:t>
      </w:r>
    </w:p>
    <w:p w:rsidR="00000000" w:rsidDel="00000000" w:rsidP="00000000" w:rsidRDefault="00000000" w:rsidRPr="00000000" w14:paraId="0000012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 glosar parcial ou totalmente a medição e determinar reapresentação no prazo legal do órgão competente, mantidas as obrigações de assistência técnica da contratada sem ônus adicional (retificações, defesas, reapresentações);</w:t>
      </w:r>
    </w:p>
    <w:p w:rsidR="00000000" w:rsidDel="00000000" w:rsidP="00000000" w:rsidRDefault="00000000" w:rsidRPr="00000000" w14:paraId="0000012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(ii) promover restituição ou compensação em medições futuras de valores eventualmente pagos e posteriormente anulados/estornados por erro técnico ou omissão imputável à contratada;</w:t>
      </w:r>
    </w:p>
    <w:p w:rsidR="00000000" w:rsidDel="00000000" w:rsidP="00000000" w:rsidRDefault="00000000" w:rsidRPr="00000000" w14:paraId="000001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(iii) aplicar as sanções contratuais e legais cabíveis sem prejuízo das retenções legais previstas.</w:t>
      </w:r>
    </w:p>
    <w:p w:rsidR="00000000" w:rsidDel="00000000" w:rsidP="00000000" w:rsidRDefault="00000000" w:rsidRPr="00000000" w14:paraId="0000012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serviços serão recebidos provisoriamente, no prazo de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20 (vinte)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dias, pelos fiscais técnico e administrativo, mediante termos detalhados, quando verificado o cumprimento das exigências de caráter técnico e administrativo.</w:t>
      </w:r>
    </w:p>
    <w:p w:rsidR="00000000" w:rsidDel="00000000" w:rsidP="00000000" w:rsidRDefault="00000000" w:rsidRPr="00000000" w14:paraId="0000012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para recebimento provisório será contado do recebimento de comunicação de cobrança oriunda do Contratado com a comprovação da prestação dos serviços a que se referem a parcela a ser paga.</w:t>
      </w:r>
    </w:p>
    <w:p w:rsidR="00000000" w:rsidDel="00000000" w:rsidP="00000000" w:rsidRDefault="00000000" w:rsidRPr="00000000" w14:paraId="0000012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técnico do contrato realizará o recebimento provisório do objeto do contrato mediante termo detalhado que comprove o cumprimento das exigências de caráter técnico.</w:t>
      </w:r>
    </w:p>
    <w:p w:rsidR="00000000" w:rsidDel="00000000" w:rsidP="00000000" w:rsidRDefault="00000000" w:rsidRPr="00000000" w14:paraId="0000012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administrativo do contrato realizará o recebimento provisório do objeto do contrato mediante termo detalhado que comprove o cumprimento das exigências de caráter administrativo.</w:t>
      </w:r>
    </w:p>
    <w:p w:rsidR="00000000" w:rsidDel="00000000" w:rsidP="00000000" w:rsidRDefault="00000000" w:rsidRPr="00000000" w14:paraId="0000012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setorial do contrato, quando houver, realizará o recebimento provisório sob o ponto de vista técnico e administrativo.</w:t>
      </w:r>
    </w:p>
    <w:p w:rsidR="00000000" w:rsidDel="00000000" w:rsidP="00000000" w:rsidRDefault="00000000" w:rsidRPr="00000000" w14:paraId="0000012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efeito de recebimento provisório, será considerado para fins de faturamento os eventos de restituição de verbas ao ente municipal.</w:t>
      </w:r>
    </w:p>
    <w:p w:rsidR="00000000" w:rsidDel="00000000" w:rsidP="00000000" w:rsidRDefault="00000000" w:rsidRPr="00000000" w14:paraId="0000012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Ao final de cada evento de faturamento:</w:t>
      </w:r>
    </w:p>
    <w:p w:rsidR="00000000" w:rsidDel="00000000" w:rsidP="00000000" w:rsidRDefault="00000000" w:rsidRPr="00000000" w14:paraId="000001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rsidR="00000000" w:rsidDel="00000000" w:rsidP="00000000" w:rsidRDefault="00000000" w:rsidRPr="00000000" w14:paraId="0000012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considerado como ocorrido o recebimento provisório com a entrega do termo detalhado ou, em havendo mais de um a ser feito, com a entrega do último.</w:t>
      </w:r>
    </w:p>
    <w:p w:rsidR="00000000" w:rsidDel="00000000" w:rsidP="00000000" w:rsidRDefault="00000000" w:rsidRPr="00000000" w14:paraId="0000012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000000" w:rsidDel="00000000" w:rsidP="00000000" w:rsidRDefault="00000000" w:rsidRPr="00000000" w14:paraId="0000012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fiscalização não efetuará o ateste da última e/ou única medição de serviços até que sejam sanadas todas as eventuais pendências que possam vir a ser apontadas no recebimento provisório.</w:t>
      </w:r>
    </w:p>
    <w:p w:rsidR="00000000" w:rsidDel="00000000" w:rsidP="00000000" w:rsidRDefault="00000000" w:rsidRPr="00000000" w14:paraId="0000013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recebimento provisório também ficará sujeito, quando cabível, à conclusão de todos os testes de campo e à entrega dos Manuais e Instruções exigíveis.</w:t>
      </w:r>
    </w:p>
    <w:p w:rsidR="00000000" w:rsidDel="00000000" w:rsidP="00000000" w:rsidRDefault="00000000" w:rsidRPr="00000000" w14:paraId="0000013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serviços poderão ser rejeitados, no todo ou em parte, quando em desacordo com as especificações constantes neste Termo de Referência e na proposta, sem prejuízo da aplicação das penalidades.</w:t>
      </w:r>
    </w:p>
    <w:p w:rsidR="00000000" w:rsidDel="00000000" w:rsidP="00000000" w:rsidRDefault="00000000" w:rsidRPr="00000000" w14:paraId="0000013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000000" w:rsidDel="00000000" w:rsidP="00000000" w:rsidRDefault="00000000" w:rsidRPr="00000000" w14:paraId="0000013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serviços serão recebidos definitivamente no prazo de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10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dez</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dias, contados do recebimento provisório, por servidor ou comissão designada pela autoridade competente, após a verificação da qualidade e quantidade do serviço e consequente aceitação mediante termo detalhado, obedecendo os seguintes procedimentos:</w:t>
      </w:r>
    </w:p>
    <w:p w:rsidR="00000000" w:rsidDel="00000000" w:rsidP="00000000" w:rsidRDefault="00000000" w:rsidRPr="00000000" w14:paraId="000001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p>
    <w:p w:rsidR="00000000" w:rsidDel="00000000" w:rsidP="00000000" w:rsidRDefault="00000000" w:rsidRPr="00000000" w14:paraId="000001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rsidR="00000000" w:rsidDel="00000000" w:rsidP="00000000" w:rsidRDefault="00000000" w:rsidRPr="00000000" w14:paraId="0000013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Emitir Termo Detalhado para efeito de recebimento definitivo dos serviços prestados, com base nos relatórios e documentações apresentadas; e</w:t>
      </w:r>
    </w:p>
    <w:p w:rsidR="00000000" w:rsidDel="00000000" w:rsidP="00000000" w:rsidRDefault="00000000" w:rsidRPr="00000000" w14:paraId="000001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Comunicar a empresa para que emita a Nota Fiscal ou Fatura, com o valor exato dimensionado pela fiscalização.</w:t>
      </w:r>
    </w:p>
    <w:p w:rsidR="00000000" w:rsidDel="00000000" w:rsidP="00000000" w:rsidRDefault="00000000" w:rsidRPr="00000000" w14:paraId="000001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Enviar a documentação pertinente ao setor de contratos para a formalização dos procedimentos de liquidação e pagamento, no valor dimensionado pela fiscalização e gestão.</w:t>
      </w:r>
    </w:p>
    <w:p w:rsidR="00000000" w:rsidDel="00000000" w:rsidP="00000000" w:rsidRDefault="00000000" w:rsidRPr="00000000" w14:paraId="0000013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000000" w:rsidDel="00000000" w:rsidP="00000000" w:rsidRDefault="00000000" w:rsidRPr="00000000" w14:paraId="0000013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Nenhum prazo de recebimento ocorrerá enquanto pendente a solução, pelo Contratado, de inconsistências verificadas na execução do objeto ou no instrumento de cobrança.</w:t>
      </w:r>
    </w:p>
    <w:p w:rsidR="00000000" w:rsidDel="00000000" w:rsidP="00000000" w:rsidRDefault="00000000" w:rsidRPr="00000000" w14:paraId="0000013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recebimento provisório ou definitivo não excluirá a responsabilidade civil pela solidez e pela segurança do serviço nem a responsabilidade ético-profissional pela perfeita execução do contrato.</w:t>
      </w:r>
    </w:p>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Liquidação</w:t>
      </w:r>
    </w:p>
    <w:p w:rsidR="00000000" w:rsidDel="00000000" w:rsidP="00000000" w:rsidRDefault="00000000" w:rsidRPr="00000000" w14:paraId="0000013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Recebida a Nota Fiscal ou documento de cobrança equivalente, correrá o prazo de dez dias úteis para fins de liquidação, na forma desta seção, prorrogáveis por igual período.</w:t>
      </w:r>
    </w:p>
    <w:p w:rsidR="00000000" w:rsidDel="00000000" w:rsidP="00000000" w:rsidRDefault="00000000" w:rsidRPr="00000000" w14:paraId="0000013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de que trata o item anterior será reduzido à metade, mantendo-se a possibilidade de prorrogação, nos casos de contratações decorrentes de despesas cujos valores não ultrapassem o limite de que trata o inciso II do art. 75 da Lei nº 14.133, de 2021</w:t>
      </w:r>
    </w:p>
    <w:p w:rsidR="00000000" w:rsidDel="00000000" w:rsidP="00000000" w:rsidRDefault="00000000" w:rsidRPr="00000000" w14:paraId="0000013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fins de liquidação, o setor competente deve verificar se a Nota Fiscal ou Fatura apresentada expressa os elementos necessários e essenciais do documento, tais como:</w:t>
      </w:r>
    </w:p>
    <w:p w:rsidR="00000000" w:rsidDel="00000000" w:rsidP="00000000" w:rsidRDefault="00000000" w:rsidRPr="00000000" w14:paraId="0000014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12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prazo de validade;</w:t>
      </w:r>
    </w:p>
    <w:p w:rsidR="00000000" w:rsidDel="00000000" w:rsidP="00000000" w:rsidRDefault="00000000" w:rsidRPr="00000000" w14:paraId="0000014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data da emissão;</w:t>
      </w:r>
    </w:p>
    <w:p w:rsidR="00000000" w:rsidDel="00000000" w:rsidP="00000000" w:rsidRDefault="00000000" w:rsidRPr="00000000" w14:paraId="0000014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dados do contrato e do órgão contratante;</w:t>
      </w:r>
    </w:p>
    <w:p w:rsidR="00000000" w:rsidDel="00000000" w:rsidP="00000000" w:rsidRDefault="00000000" w:rsidRPr="00000000" w14:paraId="0000014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período respectivo de execução do contrato;</w:t>
      </w:r>
    </w:p>
    <w:p w:rsidR="00000000" w:rsidDel="00000000" w:rsidP="00000000" w:rsidRDefault="00000000" w:rsidRPr="00000000" w14:paraId="0000014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valor a pagar; e</w:t>
      </w:r>
    </w:p>
    <w:p w:rsidR="00000000" w:rsidDel="00000000" w:rsidP="00000000" w:rsidRDefault="00000000" w:rsidRPr="00000000" w14:paraId="00000145">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40"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eventual destaque do valor de retenções tributárias cabíveis.</w:t>
      </w:r>
    </w:p>
    <w:p w:rsidR="00000000" w:rsidDel="00000000" w:rsidP="00000000" w:rsidRDefault="00000000" w:rsidRPr="00000000" w14:paraId="0000014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Havendo erro na apresentação da Nota Fiscal/Fatura, ou circunstância que impeça a liquidação da despesa, esta ficará sobrestada até que o Contratado providencie as medidas saneadoras, reiniciando-se o prazo após a comprovação da regularização da situação, sem ônus ao Contratante.</w:t>
      </w:r>
    </w:p>
    <w:p w:rsidR="00000000" w:rsidDel="00000000" w:rsidP="00000000" w:rsidRDefault="00000000" w:rsidRPr="00000000" w14:paraId="0000014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w:t>
      </w:r>
    </w:p>
    <w:p w:rsidR="00000000" w:rsidDel="00000000" w:rsidP="00000000" w:rsidRDefault="00000000" w:rsidRPr="00000000" w14:paraId="0000014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Administração deverá realizar consulta ao SICAF para:</w:t>
      </w:r>
    </w:p>
    <w:p w:rsidR="00000000" w:rsidDel="00000000" w:rsidP="00000000" w:rsidRDefault="00000000" w:rsidRPr="00000000" w14:paraId="0000014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verificar a manutenção das condições de habilitação exigidas;</w:t>
      </w:r>
    </w:p>
    <w:p w:rsidR="00000000" w:rsidDel="00000000" w:rsidP="00000000" w:rsidRDefault="00000000" w:rsidRPr="00000000" w14:paraId="0000014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bookmarkStart w:colFirst="0" w:colLast="0" w:name="_heading=h.rj4hrmp1q1au" w:id="7"/>
      <w:bookmarkEnd w:id="7"/>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identificar possível razão que impeça a participação em licitação/contratação no âmbito do órgão ou entidade, tais como a proibição de contratar com a Administração ou com o Poder Público, bem como ocorrências impeditivas indiretas.</w:t>
      </w:r>
    </w:p>
    <w:p w:rsidR="00000000" w:rsidDel="00000000" w:rsidP="00000000" w:rsidRDefault="00000000" w:rsidRPr="00000000" w14:paraId="0000014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000000" w:rsidDel="00000000" w:rsidP="00000000" w:rsidRDefault="00000000" w:rsidRPr="00000000" w14:paraId="0000014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000000" w:rsidDel="00000000" w:rsidP="00000000" w:rsidRDefault="00000000" w:rsidRPr="00000000" w14:paraId="0000014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Persistindo a irregularidade, o Contratante deverá adotar as medidas necessárias à rescisão contratual nos autos do processo administrativo correspondente, assegurada ao Contratado a ampla defesa.</w:t>
      </w:r>
    </w:p>
    <w:p w:rsidR="00000000" w:rsidDel="00000000" w:rsidP="00000000" w:rsidRDefault="00000000" w:rsidRPr="00000000" w14:paraId="0000014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Havendo a efetiva execução do objeto, os pagamentos serão realizados normalmente, até que se decida pela rescisão do contrato, caso o Contratado não regularize sua situação junto ao SICAF.</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Prazo de pagamento</w:t>
      </w:r>
    </w:p>
    <w:p w:rsidR="00000000" w:rsidDel="00000000" w:rsidP="00000000" w:rsidRDefault="00000000" w:rsidRPr="00000000" w14:paraId="0000015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pagamento será efetuado no prazo máximo de até dez dias úteis, contados da finalização da liquidação da despesa, conforme seção anterior.</w:t>
      </w:r>
    </w:p>
    <w:p w:rsidR="00000000" w:rsidDel="00000000" w:rsidP="00000000" w:rsidRDefault="00000000" w:rsidRPr="00000000" w14:paraId="0000015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No caso de atraso pelo Contratante, os valores devidos ao Contratado serão atualizados monetariamente entre o termo final do prazo de pagamento até a data de sua efetiva realização, mediante aplicação do índice</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IPCA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de correção monetária.</w:t>
      </w:r>
    </w:p>
    <w:p w:rsidR="00000000" w:rsidDel="00000000" w:rsidP="00000000" w:rsidRDefault="00000000" w:rsidRPr="00000000" w14:paraId="000001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 de pagamento</w:t>
      </w:r>
    </w:p>
    <w:p w:rsidR="00000000" w:rsidDel="00000000" w:rsidP="00000000" w:rsidRDefault="00000000" w:rsidRPr="00000000" w14:paraId="0000015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pagamento será realizado por meio de ordem bancária, para crédito em banco, agência e conta corrente indicados pelo Contratado.</w:t>
      </w:r>
    </w:p>
    <w:p w:rsidR="00000000" w:rsidDel="00000000" w:rsidP="00000000" w:rsidRDefault="00000000" w:rsidRPr="00000000" w14:paraId="0000015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Será considerada data do pagamento o dia em que constar como emitida a ordem bancária para pagamento.</w:t>
      </w:r>
    </w:p>
    <w:p w:rsidR="00000000" w:rsidDel="00000000" w:rsidP="00000000" w:rsidRDefault="00000000" w:rsidRPr="00000000" w14:paraId="0000015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do pagamento, será efetuada a retenção tributária prevista na legislação aplicável.</w:t>
      </w:r>
    </w:p>
    <w:p w:rsidR="00000000" w:rsidDel="00000000" w:rsidP="00000000" w:rsidRDefault="00000000" w:rsidRPr="00000000" w14:paraId="000001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Independentemente do percentual de tributo inserido na planilha, quando houver, serão retidos na fonte, quando da realização do pagamento, os percentuais estabelecidos na legislação vigente.</w:t>
      </w:r>
    </w:p>
    <w:p w:rsidR="00000000" w:rsidDel="00000000" w:rsidP="00000000" w:rsidRDefault="00000000" w:rsidRPr="00000000" w14:paraId="0000015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Reajuste</w:t>
      </w:r>
    </w:p>
    <w:p w:rsidR="00000000" w:rsidDel="00000000" w:rsidP="00000000" w:rsidRDefault="00000000" w:rsidRPr="00000000" w14:paraId="0000015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Não caberá reajuste dos preços, uma vez que a remuneração contratual é ad exitum e consiste em percentual fixo aplicado sobre o valor líquido efetivamente recuperado, não havendo preço unitário indexável nem variação de insumos a ser recomposta por índice; todos os custos e encargos (tributos, taxas, deslocamentos, tecnologia e equipe) são de conta e risco da contratada e já se encontram integralmente embutidos no percentual ofertado, inexistindo, ademais, hipótese de repactuação por não se tratar de serviço continuado com dedicação exclusiva de mão de obra; fica apenas ressalvada, nos termos da Lei nº 14.133/2021, a possibilidade de recomposição do equilíbrio econômico-financeiro em situações extraordinárias e imprevisíveis, devidamente comprovadas, o que não se confunde com reajuste periódico.</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Cessão de Crédito</w:t>
      </w:r>
    </w:p>
    <w:p w:rsidR="00000000" w:rsidDel="00000000" w:rsidP="00000000" w:rsidRDefault="00000000" w:rsidRPr="00000000" w14:paraId="0000015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cessões de crédito dependerão de prévia aprovação do Contratante.</w:t>
      </w:r>
    </w:p>
    <w:p w:rsidR="00000000" w:rsidDel="00000000" w:rsidP="00000000" w:rsidRDefault="00000000" w:rsidRPr="00000000" w14:paraId="0000015C">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eficácia da cessão de crédito, em relação à Administração, está condicionada à celebração de termo aditivo ao contrato administrativo.</w:t>
      </w:r>
    </w:p>
    <w:p w:rsidR="00000000" w:rsidDel="00000000" w:rsidP="00000000" w:rsidRDefault="00000000" w:rsidRPr="00000000" w14:paraId="0000015D">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nos termos do Parecer JL-01, de 18 de maio de 2020.</w:t>
      </w:r>
    </w:p>
    <w:p w:rsidR="00000000" w:rsidDel="00000000" w:rsidP="00000000" w:rsidRDefault="00000000" w:rsidRPr="00000000" w14:paraId="0000015E">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rsidR="00000000" w:rsidDel="00000000" w:rsidP="00000000" w:rsidRDefault="00000000" w:rsidRPr="00000000" w14:paraId="0000015F">
      <w:pPr>
        <w:keepNext w:val="0"/>
        <w:keepLines w:val="0"/>
        <w:pageBreakBefore w:val="0"/>
        <w:widowControl w:val="1"/>
        <w:numPr>
          <w:ilvl w:val="2"/>
          <w:numId w:val="5"/>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cessão de crédito não afetará a execução do objeto contratado, que continuará sob a integral responsabilidade do Contratado.</w:t>
      </w:r>
    </w:p>
    <w:p w:rsidR="00000000" w:rsidDel="00000000" w:rsidP="00000000" w:rsidRDefault="00000000" w:rsidRPr="00000000" w14:paraId="0000016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INFRAÇÕES E SANÇÕES ADMINISTRATIVAS</w:t>
      </w:r>
    </w:p>
    <w:p w:rsidR="00000000" w:rsidDel="00000000" w:rsidP="00000000" w:rsidRDefault="00000000" w:rsidRPr="00000000" w14:paraId="0000016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Comete infração administrativa, nos termos da Lei nº 14.133, de 2021, o Contratado que:</w:t>
      </w:r>
    </w:p>
    <w:p w:rsidR="00000000" w:rsidDel="00000000" w:rsidP="00000000" w:rsidRDefault="00000000" w:rsidRPr="00000000" w14:paraId="00000162">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der causa à inexecução parcial do contrato;</w:t>
      </w:r>
    </w:p>
    <w:p w:rsidR="00000000" w:rsidDel="00000000" w:rsidP="00000000" w:rsidRDefault="00000000" w:rsidRPr="00000000" w14:paraId="0000016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der causa à inexecução parcial do contrato que cause grave dano à Administração ou ao funcionamento dos serviços públicos ou ao interesse coletivo;</w:t>
      </w:r>
    </w:p>
    <w:p w:rsidR="00000000" w:rsidDel="00000000" w:rsidP="00000000" w:rsidRDefault="00000000" w:rsidRPr="00000000" w14:paraId="0000016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der causa à inexecução total do contrato;</w:t>
      </w:r>
    </w:p>
    <w:p w:rsidR="00000000" w:rsidDel="00000000" w:rsidP="00000000" w:rsidRDefault="00000000" w:rsidRPr="00000000" w14:paraId="0000016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ensejar o retardamento da execução ou da entrega do objeto da contratação sem motivo justificado;</w:t>
      </w:r>
    </w:p>
    <w:p w:rsidR="00000000" w:rsidDel="00000000" w:rsidP="00000000" w:rsidRDefault="00000000" w:rsidRPr="00000000" w14:paraId="0000016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apresentar documentação falsa ou prestar declaração falsa durante a execução do contrato;</w:t>
      </w:r>
    </w:p>
    <w:p w:rsidR="00000000" w:rsidDel="00000000" w:rsidP="00000000" w:rsidRDefault="00000000" w:rsidRPr="00000000" w14:paraId="0000016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praticar ato fraudulento na execução do contrato;</w:t>
      </w:r>
    </w:p>
    <w:p w:rsidR="00000000" w:rsidDel="00000000" w:rsidP="00000000" w:rsidRDefault="00000000" w:rsidRPr="00000000" w14:paraId="0000016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comportar-se de modo inidôneo ou cometer fraude de qualquer natureza;</w:t>
      </w:r>
    </w:p>
    <w:p w:rsidR="00000000" w:rsidDel="00000000" w:rsidP="00000000" w:rsidRDefault="00000000" w:rsidRPr="00000000" w14:paraId="0000016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praticar ato lesivo previsto no art. 5º da Lei nº 12.846, de 1º de agosto de 2013.</w:t>
      </w:r>
    </w:p>
    <w:p w:rsidR="00000000" w:rsidDel="00000000" w:rsidP="00000000" w:rsidRDefault="00000000" w:rsidRPr="00000000" w14:paraId="0000016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Serão aplicadas ao Contratado que incorrer nas infrações acima descritas as seguintes sanções:</w:t>
      </w:r>
      <w:r w:rsidDel="00000000" w:rsidR="00000000" w:rsidRPr="00000000">
        <w:rPr>
          <w:rtl w:val="0"/>
        </w:rPr>
      </w:r>
    </w:p>
    <w:p w:rsidR="00000000" w:rsidDel="00000000" w:rsidP="00000000" w:rsidRDefault="00000000" w:rsidRPr="00000000" w14:paraId="0000016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Advertência, quando o Contratado der causa à inexecução parcial do contrato, sempre que não se justificar a imposição de penalidade mais grave;</w:t>
      </w:r>
    </w:p>
    <w:p w:rsidR="00000000" w:rsidDel="00000000" w:rsidP="00000000" w:rsidRDefault="00000000" w:rsidRPr="00000000" w14:paraId="0000016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Impedimento de licitar e contratar, quando praticadas as condutas descritas nas alíneas “b”, “c” e “d” do subitem acima, sempre que não se justificar a imposição de penalidade mais grave;</w:t>
      </w:r>
    </w:p>
    <w:p w:rsidR="00000000" w:rsidDel="00000000" w:rsidP="00000000" w:rsidRDefault="00000000" w:rsidRPr="00000000" w14:paraId="0000016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Declaração de inidoneidade para licitar e contratar, quando praticadas as condutas descritas nas alíneas “e”, “f”, “g” e “h” do subitem acima, bem como nas alíneas “b”, “c” e “d”, que justifiquem a imposição de penalidade mais grave.</w:t>
      </w:r>
    </w:p>
    <w:p w:rsidR="00000000" w:rsidDel="00000000" w:rsidP="00000000" w:rsidRDefault="00000000" w:rsidRPr="00000000" w14:paraId="0000016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Multa:</w:t>
      </w:r>
    </w:p>
    <w:p w:rsidR="00000000" w:rsidDel="00000000" w:rsidP="00000000" w:rsidRDefault="00000000" w:rsidRPr="00000000" w14:paraId="0000016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Moratória, para as infrações descritas no item “d”,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0,02</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dois centésimos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por dia de atraso injustificado sobre o valor da parcela inadimplida, até o limite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30</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trinta</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dias. </w:t>
      </w:r>
    </w:p>
    <w:p w:rsidR="00000000" w:rsidDel="00000000" w:rsidP="00000000" w:rsidRDefault="00000000" w:rsidRPr="00000000" w14:paraId="0000017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Compensatória, para as infrações descritas acima alíneas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e</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h</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1</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um</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quatro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do valor da contratação.</w:t>
      </w:r>
    </w:p>
    <w:p w:rsidR="00000000" w:rsidDel="00000000" w:rsidP="00000000" w:rsidRDefault="00000000" w:rsidRPr="00000000" w14:paraId="0000017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Compensatória, para a inexecução total do contrato prevista acima na alínea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c</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dois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4</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quatro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do valor da contratação.</w:t>
      </w:r>
    </w:p>
    <w:p w:rsidR="00000000" w:rsidDel="00000000" w:rsidP="00000000" w:rsidRDefault="00000000" w:rsidRPr="00000000" w14:paraId="0000017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Compensatória, para a infração descrita acima na alínea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b</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de 1</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,5</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um inteiro e cinco décimos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3,5</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três inteiros e cinco décimos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do valor da contratação.</w:t>
      </w:r>
    </w:p>
    <w:p w:rsidR="00000000" w:rsidDel="00000000" w:rsidP="00000000" w:rsidRDefault="00000000" w:rsidRPr="00000000" w14:paraId="0000017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Compensatória, em substituição à multa moratória para a infração descrita acima na alínea “d”,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0,5</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meio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1,5</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um inteiro e cinco décimos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do valor da contratação.</w:t>
      </w:r>
    </w:p>
    <w:p w:rsidR="00000000" w:rsidDel="00000000" w:rsidP="00000000" w:rsidRDefault="00000000" w:rsidRPr="00000000" w14:paraId="0000017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Compensatória, para a infração descrita acima na alínea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a</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0,5</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meio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a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2</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dois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por cento) do valor da contratação.</w:t>
      </w:r>
    </w:p>
    <w:p w:rsidR="00000000" w:rsidDel="00000000" w:rsidP="00000000" w:rsidRDefault="00000000" w:rsidRPr="00000000" w14:paraId="0000017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aplicação das sanções previstas neste Termo de Referência não exclui, em hipótese alguma, a obrigação de reparação integral do dano causado ao Contratante.</w:t>
      </w:r>
    </w:p>
    <w:p w:rsidR="00000000" w:rsidDel="00000000" w:rsidP="00000000" w:rsidRDefault="00000000" w:rsidRPr="00000000" w14:paraId="0000017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Todas as sanções previstas neste Termo de Referência poderão ser aplicadas cumulativamente com a multa.</w:t>
      </w:r>
    </w:p>
    <w:p w:rsidR="00000000" w:rsidDel="00000000" w:rsidP="00000000" w:rsidRDefault="00000000" w:rsidRPr="00000000" w14:paraId="0000017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Antes da aplicação da multa será facultada a defesa do interessado no prazo de 15 (quinze) dias úteis, contado da data de sua intimação.</w:t>
      </w:r>
    </w:p>
    <w:p w:rsidR="00000000" w:rsidDel="00000000" w:rsidP="00000000" w:rsidRDefault="00000000" w:rsidRPr="00000000" w14:paraId="0000017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a multa aplicada e as indenizações cabíveis forem superiores ao valor do pagamento eventualmente devido pelo Contratante ao Contratado, além da perda desse valor, a diferença será descontada da garantia prestada ou será cobrada judicialmente.</w:t>
      </w:r>
    </w:p>
    <w:p w:rsidR="00000000" w:rsidDel="00000000" w:rsidP="00000000" w:rsidRDefault="00000000" w:rsidRPr="00000000" w14:paraId="0000017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multa poderá ser recolhida administrativamente no prazo máximo de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30</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trinta</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dias, a contar da data do recebimento da comunicação enviada pela autoridade competente.</w:t>
        <w:tab/>
      </w:r>
    </w:p>
    <w:p w:rsidR="00000000" w:rsidDel="00000000" w:rsidP="00000000" w:rsidRDefault="00000000" w:rsidRPr="00000000" w14:paraId="0000017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000000" w:rsidDel="00000000" w:rsidP="00000000" w:rsidRDefault="00000000" w:rsidRPr="00000000" w14:paraId="0000017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a garantia da ampla defesa e contraditório, as notificações serão enviadas eletronicamente para os endereços de e-mail informados na proposta comercial, bem como os cadastrados pela empresa no SICAF.</w:t>
      </w:r>
    </w:p>
    <w:p w:rsidR="00000000" w:rsidDel="00000000" w:rsidP="00000000" w:rsidRDefault="00000000" w:rsidRPr="00000000" w14:paraId="0000017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endereços de e-mail informados na proposta comercial e/ou cadastrados no SICAF serão considerados de uso contínuo da empresa, não cabendo alegação de desconhecimento das comunicações a eles comprovadamente enviadas.</w:t>
      </w:r>
    </w:p>
    <w:p w:rsidR="00000000" w:rsidDel="00000000" w:rsidP="00000000" w:rsidRDefault="00000000" w:rsidRPr="00000000" w14:paraId="0000017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aplicação das sanções serão considerados:</w:t>
      </w:r>
    </w:p>
    <w:p w:rsidR="00000000" w:rsidDel="00000000" w:rsidP="00000000" w:rsidRDefault="00000000" w:rsidRPr="00000000" w14:paraId="0000017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natureza e a gravidade da infração cometida;</w:t>
      </w:r>
    </w:p>
    <w:p w:rsidR="00000000" w:rsidDel="00000000" w:rsidP="00000000" w:rsidRDefault="00000000" w:rsidRPr="00000000" w14:paraId="0000017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peculiaridades do caso concreto;</w:t>
      </w:r>
    </w:p>
    <w:p w:rsidR="00000000" w:rsidDel="00000000" w:rsidP="00000000" w:rsidRDefault="00000000" w:rsidRPr="00000000" w14:paraId="0000018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circunstâncias agravantes ou atenuantes;</w:t>
      </w:r>
    </w:p>
    <w:p w:rsidR="00000000" w:rsidDel="00000000" w:rsidP="00000000" w:rsidRDefault="00000000" w:rsidRPr="00000000" w14:paraId="0000018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danos que dela provierem para o Contratante; e</w:t>
      </w:r>
    </w:p>
    <w:p w:rsidR="00000000" w:rsidDel="00000000" w:rsidP="00000000" w:rsidRDefault="00000000" w:rsidRPr="00000000" w14:paraId="0000018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implantação ou o aperfeiçoamento de programa de integridade, conforme normas e orientações dos órgãos de controle.</w:t>
      </w:r>
    </w:p>
    <w:p w:rsidR="00000000" w:rsidDel="00000000" w:rsidP="00000000" w:rsidRDefault="00000000" w:rsidRPr="00000000" w14:paraId="0000018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rsidR="00000000" w:rsidDel="00000000" w:rsidP="00000000" w:rsidRDefault="00000000" w:rsidRPr="00000000" w14:paraId="0000018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000000" w:rsidDel="00000000" w:rsidP="00000000" w:rsidRDefault="00000000" w:rsidRPr="00000000" w14:paraId="0000018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p>
    <w:p w:rsidR="00000000" w:rsidDel="00000000" w:rsidP="00000000" w:rsidRDefault="00000000" w:rsidRPr="00000000" w14:paraId="0000018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penalidades serão obrigatoriamente registradas no SICAF.</w:t>
      </w:r>
    </w:p>
    <w:p w:rsidR="00000000" w:rsidDel="00000000" w:rsidP="00000000" w:rsidRDefault="00000000" w:rsidRPr="00000000" w14:paraId="0000018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sanções de impedimento de licitar e contratar e declaração de inidoneidade para licitar ou contratar são passíveis de reabilitação na forma do art. 163 da Lei nº 14.133, de 2021.</w:t>
      </w:r>
    </w:p>
    <w:p w:rsidR="00000000" w:rsidDel="00000000" w:rsidP="00000000" w:rsidRDefault="00000000" w:rsidRPr="00000000" w14:paraId="0000018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rsidR="00000000" w:rsidDel="00000000" w:rsidP="00000000" w:rsidRDefault="00000000" w:rsidRPr="00000000" w14:paraId="0000018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 E CRITÉRIOS DE SELEÇÃO DO FORNECEDOR E REGIME DE EXECUÇÃO</w:t>
      </w:r>
    </w:p>
    <w:p w:rsidR="00000000" w:rsidDel="00000000" w:rsidP="00000000" w:rsidRDefault="00000000" w:rsidRPr="00000000" w14:paraId="0000018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bookmarkStart w:colFirst="0" w:colLast="0" w:name="_heading=h.ot6vj3cvwu68" w:id="8"/>
      <w:bookmarkEnd w:id="8"/>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Forma de seleção e critério de julgamento da proposta</w:t>
      </w:r>
    </w:p>
    <w:p w:rsidR="00000000" w:rsidDel="00000000" w:rsidP="00000000" w:rsidRDefault="00000000" w:rsidRPr="00000000" w14:paraId="0000018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fornecedor será selecionado por meio de contratação direta com fundamento no art. </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74</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inciso III, alínea “c”, da Lei nº 14.133, de 1º de abril de 2021, com base nos fundamentos descritos no Estudo Técnico Preliminar, apêndice deste instrumento.</w:t>
      </w:r>
    </w:p>
    <w:p w:rsidR="00000000" w:rsidDel="00000000" w:rsidP="00000000" w:rsidRDefault="00000000" w:rsidRPr="00000000" w14:paraId="000001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both"/>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Regime de Execução</w:t>
      </w:r>
    </w:p>
    <w:p w:rsidR="00000000" w:rsidDel="00000000" w:rsidP="00000000" w:rsidRDefault="00000000" w:rsidRPr="00000000" w14:paraId="0000018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O objeto será executado em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regime de empreitada por preço unitário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tomando-se como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unidade de medida</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cada R$ 1,00 (um real) de crédito líquido efetivamente homologado, compensado ou creditado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em favor do Município. 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preço unitário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corresponderá ao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percentual</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ofertado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aplicado sobre a unidade definida, sendo as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quantidades</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estimadas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consignadas no Anexo de Estimativas e as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quantidades</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efetivas</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apuradas por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rubrica</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e por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Município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conforme a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aferição</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pagamento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do item 7.3. sendo que a medição e o pagamento ocorrerão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exclusivamente</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pelo</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resultado</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comprovado</w:t>
      </w:r>
    </w:p>
    <w:p w:rsidR="00000000" w:rsidDel="00000000" w:rsidP="00000000" w:rsidRDefault="00000000" w:rsidRPr="00000000" w14:paraId="000001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Exigências de habilitação</w:t>
      </w:r>
    </w:p>
    <w:p w:rsidR="00000000" w:rsidDel="00000000" w:rsidP="00000000" w:rsidRDefault="00000000" w:rsidRPr="00000000" w14:paraId="0000019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fins de habilitação, deverá o interessado comprovar os seguintes requisitos:</w:t>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Habilitação jurídica</w:t>
      </w:r>
    </w:p>
    <w:p w:rsidR="00000000" w:rsidDel="00000000" w:rsidP="00000000" w:rsidRDefault="00000000" w:rsidRPr="00000000" w14:paraId="0000019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bookmarkStart w:colFirst="0" w:colLast="0" w:name="_heading=h.yei0ellnyq11" w:id="9"/>
      <w:bookmarkEnd w:id="9"/>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Pessoa física: cédula de identidade (RG) ou documento equivalente que, por força de lei, tenha validade para fins de identificação em todo o território nacional;</w:t>
      </w:r>
    </w:p>
    <w:p w:rsidR="00000000" w:rsidDel="00000000" w:rsidP="00000000" w:rsidRDefault="00000000" w:rsidRPr="00000000" w14:paraId="0000019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Empresário individual: inscrição no Registro Público de Empresas Mercantis, a cargo da Junta Comercial da respectiva sede;</w:t>
      </w:r>
    </w:p>
    <w:p w:rsidR="00000000" w:rsidDel="00000000" w:rsidP="00000000" w:rsidRDefault="00000000" w:rsidRPr="00000000" w14:paraId="0000019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Microempreendedor Individual - MEI: Certificado da Condição de Microempreendedor Individual - CCMEI, cuja aceitação ficará condicionada à verificação da autenticidade no sítio https://www.gov.br/empresas-e-negocios/pt-br/empreendedor;</w:t>
      </w:r>
    </w:p>
    <w:p w:rsidR="00000000" w:rsidDel="00000000" w:rsidP="00000000" w:rsidRDefault="00000000" w:rsidRPr="00000000" w14:paraId="0000019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000000" w:rsidDel="00000000" w:rsidP="00000000" w:rsidRDefault="00000000" w:rsidRPr="00000000" w14:paraId="0000019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000000" w:rsidDel="00000000" w:rsidP="00000000" w:rsidRDefault="00000000" w:rsidRPr="00000000" w14:paraId="0000019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Sociedade simples: inscrição do ato constitutivo no Registro Civil de Pessoas Jurídicas do local de sua sede, acompanhada de documento comprobatório de seus administradores;</w:t>
      </w:r>
    </w:p>
    <w:p w:rsidR="00000000" w:rsidDel="00000000" w:rsidP="00000000" w:rsidRDefault="00000000" w:rsidRPr="00000000" w14:paraId="0000019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bookmarkStart w:colFirst="0" w:colLast="0" w:name="_heading=h.1o6ova9hj1vi" w:id="10"/>
      <w:bookmarkEnd w:id="1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000000" w:rsidDel="00000000" w:rsidP="00000000" w:rsidRDefault="00000000" w:rsidRPr="00000000" w14:paraId="0000019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Sociedade cooperativa: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000000" w:rsidDel="00000000" w:rsidP="00000000" w:rsidRDefault="00000000" w:rsidRPr="00000000" w14:paraId="0000019A">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Consórcio de empresas: contrato de consórcio devidamente arquivado no Registro Civil das Pessoas Jurídicas ou no Registro Público de Empresas Mercantis (art. 279 da Lei nº 6.404, de 15 de dezembro de 1976) ou compromisso público ou particular de constituição, subscrito pelos consorciados, com a indicação da empresa líder, responsável por sua representação perante a Administração (art. 15, caput, I e II, da Lei nº 14.133, de 2021).</w:t>
      </w:r>
    </w:p>
    <w:p w:rsidR="00000000" w:rsidDel="00000000" w:rsidP="00000000" w:rsidRDefault="00000000" w:rsidRPr="00000000" w14:paraId="0000019B">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documentos apresentados deverão estar acompanhados de todas as alterações ou da consolidação respectiva.</w:t>
      </w:r>
    </w:p>
    <w:p w:rsidR="00000000" w:rsidDel="00000000" w:rsidP="00000000" w:rsidRDefault="00000000" w:rsidRPr="00000000" w14:paraId="0000019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Habilitação fiscal, social e trabalhista</w:t>
      </w:r>
    </w:p>
    <w:p w:rsidR="00000000" w:rsidDel="00000000" w:rsidP="00000000" w:rsidRDefault="00000000" w:rsidRPr="00000000" w14:paraId="0000019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inscrição no Cadastro Nacional de Pessoas Jurídicas ou no Cadastro de Pessoas Físicas, conforme o caso;</w:t>
      </w:r>
    </w:p>
    <w:p w:rsidR="00000000" w:rsidDel="00000000" w:rsidP="00000000" w:rsidRDefault="00000000" w:rsidRPr="00000000" w14:paraId="0000019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000000" w:rsidDel="00000000" w:rsidP="00000000" w:rsidRDefault="00000000" w:rsidRPr="00000000" w14:paraId="0000019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regularidade com o Fundo de Garantia do Tempo de Serviço (FGTS);</w:t>
      </w:r>
    </w:p>
    <w:p w:rsidR="00000000" w:rsidDel="00000000" w:rsidP="00000000" w:rsidRDefault="00000000" w:rsidRPr="00000000" w14:paraId="000001A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rsidR="00000000" w:rsidDel="00000000" w:rsidP="00000000" w:rsidRDefault="00000000" w:rsidRPr="00000000" w14:paraId="000001A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inscrição no cadastro de contribuintes Distrital ou Municipal</w:t>
      </w:r>
      <w:r w:rsidDel="00000000" w:rsidR="00000000" w:rsidRPr="00000000">
        <w:rPr>
          <w:rFonts w:ascii="Arial" w:cs="Arial" w:eastAsia="Arial" w:hAnsi="Arial"/>
          <w:b w:val="0"/>
          <w:bCs w:val="0"/>
          <w:i w:val="0"/>
          <w:iCs w:val="0"/>
          <w:smallCaps w:val="0"/>
          <w:strike w:val="0"/>
          <w:color w:val="ff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relativo ao domicílio ou sede do fornecedor, pertinente ao seu ramo de atividade e compatível com o objeto contratual;</w:t>
      </w:r>
    </w:p>
    <w:p w:rsidR="00000000" w:rsidDel="00000000" w:rsidP="00000000" w:rsidRDefault="00000000" w:rsidRPr="00000000" w14:paraId="000001A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Prova de regularidade com a Fazenda Distrital ou Municipal do domicílio ou sede do fornecedor, relativa à atividade em cujo exercício contrata ou concorre;</w:t>
      </w:r>
    </w:p>
    <w:p w:rsidR="00000000" w:rsidDel="00000000" w:rsidP="00000000" w:rsidRDefault="00000000" w:rsidRPr="00000000" w14:paraId="000001A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Caso o fornecedor seja considerado isento dos tributos relacionados ao objeto contratual, deverá comprovar tal condição mediante a apresentação de declaração da Fazenda respectiva do seu domicílio ou sede, ou outra equivalente, na forma da lei.</w:t>
      </w:r>
    </w:p>
    <w:p w:rsidR="00000000" w:rsidDel="00000000" w:rsidP="00000000" w:rsidRDefault="00000000" w:rsidRPr="00000000" w14:paraId="000001A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bookmarkStart w:colFirst="0" w:colLast="0" w:name="_heading=h.4dapflx6l2dl" w:id="11"/>
      <w:bookmarkEnd w:id="11"/>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w:t>
      </w:r>
    </w:p>
    <w:p w:rsidR="00000000" w:rsidDel="00000000" w:rsidP="00000000" w:rsidRDefault="00000000" w:rsidRPr="00000000" w14:paraId="000001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Qualificação Econômico-Financeira</w:t>
      </w:r>
    </w:p>
    <w:p w:rsidR="00000000" w:rsidDel="00000000" w:rsidP="00000000" w:rsidRDefault="00000000" w:rsidRPr="00000000" w14:paraId="000001A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negativa de insolvência civil expedida pelo distribuidor do domicílio ou sede do interessado, caso se trate de pessoa física, desde que admitida a sua participação na licitação/contratação, ou de sociedade simples;</w:t>
      </w:r>
    </w:p>
    <w:p w:rsidR="00000000" w:rsidDel="00000000" w:rsidP="00000000" w:rsidRDefault="00000000" w:rsidRPr="00000000" w14:paraId="000001A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certidão negativa de falência expedida pelo distribuidor da sede do fornecedor;</w:t>
      </w:r>
    </w:p>
    <w:p w:rsidR="00000000" w:rsidDel="00000000" w:rsidP="00000000" w:rsidRDefault="00000000" w:rsidRPr="00000000" w14:paraId="000001A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Qualificação Técnica</w:t>
      </w:r>
    </w:p>
    <w:p w:rsidR="00000000" w:rsidDel="00000000" w:rsidP="00000000" w:rsidRDefault="00000000" w:rsidRPr="00000000" w14:paraId="000001A9">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bookmarkStart w:colFirst="0" w:colLast="0" w:name="_heading=h.of55cs3k2sma" w:id="12"/>
      <w:bookmarkEnd w:id="12"/>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Declaração de que o fornecedor tomou conhecimento de todas as informações para o cumprimento das obrigações objeto da contratação.</w:t>
      </w:r>
    </w:p>
    <w:p w:rsidR="00000000" w:rsidDel="00000000" w:rsidP="00000000" w:rsidRDefault="00000000" w:rsidRPr="00000000" w14:paraId="000001A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Essa declaração poderá ser substituída por declaração formal assinada pelo responsável técnico do interessado acerca do conhecimento pleno das condições e peculiaridades da contratação.</w:t>
      </w:r>
    </w:p>
    <w:p w:rsidR="00000000" w:rsidDel="00000000" w:rsidP="00000000" w:rsidRDefault="00000000" w:rsidRPr="00000000" w14:paraId="000001A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bookmarkStart w:colFirst="0" w:colLast="0" w:name="_heading=h.yb1fwfk0wi0u" w:id="13"/>
      <w:bookmarkEnd w:id="13"/>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Qualificação Técnico-Operacional</w:t>
      </w:r>
    </w:p>
    <w:p w:rsidR="00000000" w:rsidDel="00000000" w:rsidP="00000000" w:rsidRDefault="00000000" w:rsidRPr="00000000" w14:paraId="000001A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Comprovação de aptidão para execução de serviço similar, de complexidade tecnológica e operacional equivalente ou superior à do objeto desta contratação, ou do item pertinente, por meio da apresentação de certidões ou atestados emitidos por pessoas jurídicas de direito público ou privado, ou pelo conselho profissional competente, quando for o caso.</w:t>
      </w:r>
    </w:p>
    <w:p w:rsidR="00000000" w:rsidDel="00000000" w:rsidP="00000000" w:rsidRDefault="00000000" w:rsidRPr="00000000" w14:paraId="000001A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Para fins da comprovação de que trata este subitem, os atestados deverão dizer respeito a contrato(s) executado(s) com as seguintes características mínimas:</w:t>
      </w:r>
    </w:p>
    <w:p w:rsidR="00000000" w:rsidDel="00000000" w:rsidP="00000000" w:rsidRDefault="00000000" w:rsidRPr="00000000" w14:paraId="000001A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Execução de perícias, auditorias e/ou diagnósticos contábeis e administrativa e/ou judicial no setor público;</w:t>
      </w:r>
    </w:p>
    <w:p w:rsidR="00000000" w:rsidDel="00000000" w:rsidP="00000000" w:rsidRDefault="00000000" w:rsidRPr="00000000" w14:paraId="000001A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120" w:before="120" w:line="276" w:lineRule="auto"/>
        <w:ind w:left="2491" w:right="0" w:hanging="647.9999999999998"/>
        <w:jc w:val="both"/>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Execução de serviços de recuperação tributária incluindo Levantamento, apuração, recuperação e compensação de créditos tributários</w:t>
      </w:r>
    </w:p>
    <w:p w:rsidR="00000000" w:rsidDel="00000000" w:rsidP="00000000" w:rsidRDefault="00000000" w:rsidRPr="00000000" w14:paraId="000001B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Serão admitidos, para fins de comprovação de quantitativo mínimo de serviço, a apresentação e o somatório de diferentes atestados de serviços, pois essa situação se presta, para fins de comprovação de capacidade técnico-operacional, a demonstrar a capacidade técnica.</w:t>
      </w:r>
    </w:p>
    <w:p w:rsidR="00000000" w:rsidDel="00000000" w:rsidP="00000000" w:rsidRDefault="00000000" w:rsidRPr="00000000" w14:paraId="000001B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atestados de capacidade técnica poderão ser apresentados em nome da matriz ou da filial do fornecedor.</w:t>
      </w:r>
    </w:p>
    <w:p w:rsidR="00000000" w:rsidDel="00000000" w:rsidP="00000000" w:rsidRDefault="00000000" w:rsidRPr="00000000" w14:paraId="000001B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 fornecedor disponibilizará todas as informações necessárias à comprovação da legitimidade dos atestados, apresentando, quando solicitado pela Administração, cópia do contrato que deu suporte à contratação, endereço atual do Contratante e local em que foram prestados os serviços, entre outros documentos.</w:t>
      </w:r>
    </w:p>
    <w:p w:rsidR="00000000" w:rsidDel="00000000" w:rsidP="00000000" w:rsidRDefault="00000000" w:rsidRPr="00000000" w14:paraId="000001B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atestados deverão referir-se a serviços prestados no âmbito de sua atividade econômica principal ou secundária especificadas no contrato social vigente.</w:t>
      </w:r>
    </w:p>
    <w:p w:rsidR="00000000" w:rsidDel="00000000" w:rsidP="00000000" w:rsidRDefault="00000000" w:rsidRPr="00000000" w14:paraId="000001B4">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Serão aceitos atestados ou outros documentos hábeis emitidos por entidades estrangeiras quando acompanhados de tradução para o português, salvo se comprovada a inidoneidade da entidade emissora.</w:t>
      </w:r>
    </w:p>
    <w:p w:rsidR="00000000" w:rsidDel="00000000" w:rsidP="00000000" w:rsidRDefault="00000000" w:rsidRPr="00000000" w14:paraId="000001B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 apresentação, pelo fornecedor, de certidões ou atestados de desempenho anterior emitido em favor de consórcio do qual tenha feito parte será admitida, desde que atendidos os requisitos do art. 67, §§ 10 e 11, da Lei nº 14.133/2021 e regulamentos sobre o tema.</w:t>
      </w:r>
    </w:p>
    <w:p w:rsidR="00000000" w:rsidDel="00000000" w:rsidP="00000000" w:rsidRDefault="00000000" w:rsidRPr="00000000" w14:paraId="000001B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Qualificação Técnico-Profissional</w:t>
      </w:r>
    </w:p>
    <w:p w:rsidR="00000000" w:rsidDel="00000000" w:rsidP="00000000" w:rsidRDefault="00000000" w:rsidRPr="00000000" w14:paraId="000001B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Apresentação do(s) profissional(is), abaixo indicado(s), devidamente registrado(s) no conselho profissional competente, também abaixo indicado(s):</w:t>
      </w:r>
    </w:p>
    <w:p w:rsidR="00000000" w:rsidDel="00000000" w:rsidP="00000000" w:rsidRDefault="00000000" w:rsidRPr="00000000" w14:paraId="000001B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Advogado devidamente registrado na OAB com experiência no objeto do contrato;</w:t>
      </w:r>
    </w:p>
    <w:p w:rsidR="00000000" w:rsidDel="00000000" w:rsidP="00000000" w:rsidRDefault="00000000" w:rsidRPr="00000000" w14:paraId="000001B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Contador devidamente registrado no CRC com experiência no objeto do contrato;</w:t>
      </w:r>
    </w:p>
    <w:p w:rsidR="00000000" w:rsidDel="00000000" w:rsidP="00000000" w:rsidRDefault="00000000" w:rsidRPr="00000000" w14:paraId="000001B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Demais profissionais com formação compatível com as atividades a serem executadas.</w:t>
      </w:r>
    </w:p>
    <w:p w:rsidR="00000000" w:rsidDel="00000000" w:rsidP="00000000" w:rsidRDefault="00000000" w:rsidRPr="00000000" w14:paraId="000001B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profissional(is) acima indicado(s) deverá(ão) participar do serviço objeto do contrato, e será admitida a sua substituição por profissionais de experiência equivalente ou superior, desde que aprovada pela Administração (§ 6º do art. 67 da Lei nº 14.133, de 2021)</w:t>
      </w:r>
    </w:p>
    <w:p w:rsidR="00000000" w:rsidDel="00000000" w:rsidP="00000000" w:rsidRDefault="00000000" w:rsidRPr="00000000" w14:paraId="000001B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serão admitidos atestados de responsabilidade técnica de profissionais que, na forma de regulamento, tenham dado causa à aplicação das sanções previstas nos incisos III e IV do </w:t>
      </w: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caput</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do art. 156 da Lei n.º 14.133, de 2021, em decorrência de orientação proposta, de prescrição técnica ou de qualquer ato profissional de sua responsabilidade.</w:t>
      </w:r>
    </w:p>
    <w:p w:rsidR="00000000" w:rsidDel="00000000" w:rsidP="00000000" w:rsidRDefault="00000000" w:rsidRPr="00000000" w14:paraId="000001B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Os atestados de capacidade técnica poderão ser apresentados em nome da matriz ou da filial do fornecedor.</w:t>
      </w:r>
    </w:p>
    <w:p w:rsidR="00000000" w:rsidDel="00000000" w:rsidP="00000000" w:rsidRDefault="00000000" w:rsidRPr="00000000" w14:paraId="000001B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357" w:right="0" w:hanging="357"/>
        <w:jc w:val="left"/>
        <w:rPr>
          <w:rFonts w:ascii="Arial" w:cs="Arial" w:eastAsia="Arial" w:hAnsi="Arial"/>
          <w:b w:val="1"/>
          <w:bCs w:val="1"/>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Disposições gerais sobre habilitação</w:t>
      </w:r>
    </w:p>
    <w:p w:rsidR="00000000" w:rsidDel="00000000" w:rsidP="00000000" w:rsidRDefault="00000000" w:rsidRPr="00000000" w14:paraId="000001B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Quando permitida a participação na licitação/contratação de empresas estrangeiras que não funcionem no País, as exigências de habilitação serão atendidas mediante documentos equivalentes, inicialmente apresentados em tradução livre.</w:t>
      </w:r>
    </w:p>
    <w:p w:rsidR="00000000" w:rsidDel="00000000" w:rsidP="00000000" w:rsidRDefault="00000000" w:rsidRPr="00000000" w14:paraId="000001C0">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consularizados pelos respectivos consulados ou embaixadas.</w:t>
      </w:r>
    </w:p>
    <w:p w:rsidR="00000000" w:rsidDel="00000000" w:rsidP="00000000" w:rsidRDefault="00000000" w:rsidRPr="00000000" w14:paraId="000001C1">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Não serão aceitos documentos de habilitação com indicação de CNPJ/CPF diferentes, salvo aqueles legalmente permitidos.</w:t>
      </w:r>
    </w:p>
    <w:p w:rsidR="00000000" w:rsidDel="00000000" w:rsidP="00000000" w:rsidRDefault="00000000" w:rsidRPr="00000000" w14:paraId="000001C2">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000000" w:rsidDel="00000000" w:rsidP="00000000" w:rsidRDefault="00000000" w:rsidRPr="00000000" w14:paraId="000001C3">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Serão aceitos registros de CNPJ de fornecedor matriz e filial com diferenças de números de documentos pertinentes ao CND e ao CRF/FGTS, quando for comprovada a centralização do recolhimento dessas contribuições.</w:t>
      </w:r>
    </w:p>
    <w:p w:rsidR="00000000" w:rsidDel="00000000" w:rsidP="00000000" w:rsidRDefault="00000000" w:rsidRPr="00000000" w14:paraId="000001C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ESTIMATIVAS DO VALOR DA CONTRATAÇÃO</w:t>
      </w:r>
    </w:p>
    <w:p w:rsidR="00000000" w:rsidDel="00000000" w:rsidP="00000000" w:rsidRDefault="00000000" w:rsidRPr="00000000" w14:paraId="000001C5">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empresa contratada será paga ad exitum, ou seja, apenas quando forem alcançadas economias ou reembolsos/compensações para o Município, sendo apresentado um percentual de pagamento de 17.5% (dezessete inteiros e cinco décimos por cento) sobre o valor recebido/recuperado, a serem pagos no prazo e condições estipuladas no presente instrumento, mediante a apresentação da Nota Fiscal da Contratada nos moldes da Lei 14.133/2021. </w:t>
      </w:r>
    </w:p>
    <w:p w:rsidR="00000000" w:rsidDel="00000000" w:rsidP="00000000" w:rsidRDefault="00000000" w:rsidRPr="00000000" w14:paraId="000001C6">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No valor acima estão incluídas todas as despesas ordinárias diretas e indiretas decorrentes da execução do objeto, inclusive tributos e/ou impostos, encargos sociais, trabalhistas, previdenciários, fiscais e comerciais incidentes, taxas de administração, fretes, seguro e outros necessários ao cumprimento integral do objeto da contratação;</w:t>
      </w:r>
    </w:p>
    <w:p w:rsidR="00000000" w:rsidDel="00000000" w:rsidP="00000000" w:rsidRDefault="00000000" w:rsidRPr="00000000" w14:paraId="000001C7">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estimativa de custo levou em consideração o risco envolvido na contratação e sua alocação entre Contratante e Contratado, conforme especificado na matriz de risco especificada no ETP.</w:t>
      </w:r>
    </w:p>
    <w:p w:rsidR="00000000" w:rsidDel="00000000" w:rsidP="00000000" w:rsidRDefault="00000000" w:rsidRPr="00000000" w14:paraId="000001C8">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Em caso de Registro de Preços, os preços registrados poderão ser alterados ou atualizados em decorrência de eventual redução dos preços praticados no mercado ou de fato que eleve o custo dos bens, das obras ou dos serviços registrados, nas seguintes situações:</w:t>
      </w:r>
    </w:p>
    <w:p w:rsidR="00000000" w:rsidDel="00000000" w:rsidP="00000000" w:rsidRDefault="00000000" w:rsidRPr="00000000" w14:paraId="000001C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em caso de força maior, caso fortuito ou fato do príncipe ou em decorrência de fatos imprevisíveis ou previsíveis de consequências incalculáveis, que inviabilizem a execução da ata tal como pactuada, nos termos do disposto na alínea “d” do inciso II do capu</w:t>
      </w:r>
      <w:r w:rsidDel="00000000" w:rsidR="00000000" w:rsidRPr="00000000">
        <w:rPr>
          <w:rFonts w:ascii="Arial" w:cs="Arial" w:eastAsia="Arial" w:hAnsi="Arial"/>
          <w:b w:val="1"/>
          <w:bCs w:val="1"/>
          <w:i w:val="1"/>
          <w:iCs w:val="1"/>
          <w:smallCaps w:val="0"/>
          <w:strike w:val="0"/>
          <w:color w:val="000000"/>
          <w:sz w:val="20"/>
          <w:szCs w:val="20"/>
          <w:u w:val="none"/>
          <w:shd w:fill="auto" w:val="clear"/>
          <w:vertAlign w:val="baseline"/>
          <w:rtl w:val="0"/>
        </w:rPr>
        <w:t xml:space="preserve">t</w:t>
      </w: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 do art. 124 da Lei nº 14.133, de 2021;</w:t>
      </w:r>
    </w:p>
    <w:p w:rsidR="00000000" w:rsidDel="00000000" w:rsidP="00000000" w:rsidRDefault="00000000" w:rsidRPr="00000000" w14:paraId="000001C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120" w:before="120" w:line="276" w:lineRule="auto"/>
        <w:ind w:left="6175" w:right="0" w:hanging="503.9999999999998"/>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em caso de criação, alteração ou extinção de quaisquer tributos ou encargos legais ou superveniência de disposições legais, com comprovada repercussão sobre os preços registrados;</w:t>
      </w:r>
    </w:p>
    <w:p w:rsidR="00000000" w:rsidDel="00000000" w:rsidP="00000000" w:rsidRDefault="00000000" w:rsidRPr="00000000" w14:paraId="000001C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ADEQUAÇÃO ORÇAMENTÁRIA</w:t>
      </w:r>
    </w:p>
    <w:p w:rsidR="00000000" w:rsidDel="00000000" w:rsidP="00000000" w:rsidRDefault="00000000" w:rsidRPr="00000000" w14:paraId="000001CC">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As despesas decorrentes da presente contratação correrão à conta de recursos específicos consignados no orçamento municipal.</w:t>
      </w:r>
    </w:p>
    <w:p w:rsidR="00000000" w:rsidDel="00000000" w:rsidP="00000000" w:rsidRDefault="00000000" w:rsidRPr="00000000" w14:paraId="000001CD">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rFonts w:ascii="Arial" w:cs="Arial" w:eastAsia="Arial" w:hAnsi="Arial"/>
          <w:b w:val="0"/>
          <w:bCs w:val="0"/>
          <w:i w:val="1"/>
          <w:iCs w:val="1"/>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0"/>
          <w:szCs w:val="20"/>
          <w:u w:val="none"/>
          <w:shd w:fill="auto" w:val="clear"/>
          <w:vertAlign w:val="baseline"/>
          <w:rtl w:val="0"/>
        </w:rPr>
        <w:t xml:space="preserve">A indicação da dotação orçamentária fica postergada para o momento da assinatura do contrato ou instrumento equivalente.</w:t>
      </w:r>
    </w:p>
    <w:p w:rsidR="00000000" w:rsidDel="00000000" w:rsidP="00000000" w:rsidRDefault="00000000" w:rsidRPr="00000000" w14:paraId="000001C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20" w:before="120" w:line="276" w:lineRule="auto"/>
        <w:ind w:left="360" w:right="0" w:hanging="360"/>
        <w:jc w:val="both"/>
        <w:rPr/>
      </w:pPr>
      <w:r w:rsidDel="00000000" w:rsidR="00000000" w:rsidRPr="00000000">
        <w:rPr>
          <w:rFonts w:ascii="Arial" w:cs="Arial" w:eastAsia="Arial" w:hAnsi="Arial"/>
          <w:b w:val="1"/>
          <w:bCs w:val="1"/>
          <w:i w:val="0"/>
          <w:iCs w:val="0"/>
          <w:smallCaps w:val="0"/>
          <w:strike w:val="0"/>
          <w:color w:val="000000"/>
          <w:sz w:val="20"/>
          <w:szCs w:val="20"/>
          <w:u w:val="none"/>
          <w:shd w:fill="auto" w:val="clear"/>
          <w:vertAlign w:val="baseline"/>
          <w:rtl w:val="0"/>
        </w:rPr>
        <w:t xml:space="preserve">DISPOSIÇÕES FINAIS</w:t>
      </w:r>
    </w:p>
    <w:p w:rsidR="00000000" w:rsidDel="00000000" w:rsidP="00000000" w:rsidRDefault="00000000" w:rsidRPr="00000000" w14:paraId="000001CF">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spacing w:after="120" w:before="120" w:line="276" w:lineRule="auto"/>
        <w:ind w:left="9363" w:right="0" w:hanging="432.00000000000045"/>
        <w:jc w:val="both"/>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As informações contidas neste Termo de Referência não são classificadas como sigilosas.</w:t>
      </w:r>
    </w:p>
    <w:p w:rsidR="00000000" w:rsidDel="00000000" w:rsidP="00000000" w:rsidRDefault="00000000" w:rsidRPr="00000000" w14:paraId="000001D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709" w:right="0" w:firstLine="0"/>
        <w:jc w:val="both"/>
        <w:rPr>
          <w:rFonts w:ascii="Arial" w:cs="Arial" w:eastAsia="Arial" w:hAnsi="Arial"/>
          <w:b w:val="0"/>
          <w:bCs w:val="0"/>
          <w:i w:val="1"/>
          <w:iCs w:val="1"/>
          <w:smallCaps w:val="0"/>
          <w:strike w:val="0"/>
          <w:color w:val="000000"/>
          <w:sz w:val="20"/>
          <w:szCs w:val="20"/>
          <w:highlight w:val="white"/>
          <w:u w:val="none"/>
          <w:vertAlign w:val="baseline"/>
        </w:rPr>
      </w:pPr>
      <w:r w:rsidDel="00000000" w:rsidR="00000000" w:rsidRPr="00000000">
        <w:rPr>
          <w:rFonts w:ascii="Arial" w:cs="Arial" w:eastAsia="Arial" w:hAnsi="Arial"/>
          <w:i w:val="1"/>
          <w:iCs w:val="1"/>
          <w:sz w:val="20"/>
          <w:szCs w:val="20"/>
          <w:highlight w:val="white"/>
          <w:rtl w:val="0"/>
        </w:rPr>
        <w:t xml:space="preserve">Divinópolis/MG, 18 de novembro de 2025.</w:t>
      </w:r>
      <w:r w:rsidDel="00000000" w:rsidR="00000000" w:rsidRPr="00000000">
        <w:rPr>
          <w:rtl w:val="0"/>
        </w:rPr>
      </w:r>
    </w:p>
    <w:p w:rsidR="00000000" w:rsidDel="00000000" w:rsidP="00000000" w:rsidRDefault="00000000" w:rsidRPr="00000000" w14:paraId="000001D1">
      <w:pPr>
        <w:spacing w:before="360" w:line="312" w:lineRule="auto"/>
        <w:ind w:firstLine="709"/>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__________________________________</w:t>
      </w:r>
    </w:p>
    <w:p w:rsidR="00000000" w:rsidDel="00000000" w:rsidP="00000000" w:rsidRDefault="00000000" w:rsidRPr="00000000" w14:paraId="000001D2">
      <w:pPr>
        <w:spacing w:after="288" w:line="312" w:lineRule="auto"/>
        <w:ind w:firstLine="709"/>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Luan Henrique Arantes Pereira</w:t>
      </w:r>
    </w:p>
    <w:p w:rsidR="00000000" w:rsidDel="00000000" w:rsidP="00000000" w:rsidRDefault="00000000" w:rsidRPr="00000000" w14:paraId="000001D3">
      <w:pPr>
        <w:spacing w:after="288" w:line="312" w:lineRule="auto"/>
        <w:ind w:firstLine="709"/>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Coordenador de Programa</w:t>
      </w:r>
    </w:p>
    <w:sectPr>
      <w:headerReference r:id="rId7" w:type="default"/>
      <w:footerReference r:id="rId8" w:type="default"/>
      <w:pgSz w:h="16838" w:w="11906" w:orient="portrait"/>
      <w:pgMar w:bottom="1418" w:top="141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Times New Roman"/>
  <w:font w:name="Ecofont_Spranq_eco_Sans"/>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1D7">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b w:val="1"/>
        <w:bCs w:val="1"/>
        <w:color w:val="1c2e58"/>
        <w:sz w:val="18"/>
        <w:szCs w:val="18"/>
        <w:rtl w:val="0"/>
      </w:rPr>
      <w:t xml:space="preserve">Consórcio Intermunicipal Multifinalitário do Vale do Itapecerica</w:t>
    </w:r>
    <w:r w:rsidDel="00000000" w:rsidR="00000000" w:rsidRPr="00000000">
      <w:rPr>
        <w:rtl w:val="0"/>
      </w:rPr>
    </w:r>
  </w:p>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color w:val="1c2e58"/>
        <w:sz w:val="18"/>
        <w:szCs w:val="18"/>
        <w:rtl w:val="0"/>
      </w:rPr>
      <w:t xml:space="preserve">Rua Irmã Marta Morato, 241 • Bom Pastor • 5.500-140 • Divinópolis • MG </w:t>
    </w:r>
    <w:r w:rsidDel="00000000" w:rsidR="00000000" w:rsidRPr="00000000">
      <w:rPr>
        <w:rtl w:val="0"/>
      </w:rPr>
    </w:r>
  </w:p>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+ 55 (37) 3213-8304 • consorciocimmvi@gmail.com</w:t>
    </w:r>
  </w:p>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jc w:val="right"/>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Página </w:t>
    </w:r>
    <w:r w:rsidDel="00000000" w:rsidR="00000000" w:rsidRPr="00000000">
      <w:rPr>
        <w:rFonts w:ascii="Arial" w:cs="Arial" w:eastAsia="Arial" w:hAnsi="Arial"/>
        <w:color w:val="1c2e58"/>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1c2e58"/>
        <w:sz w:val="18"/>
        <w:szCs w:val="18"/>
        <w:rtl w:val="0"/>
      </w:rPr>
      <w:t xml:space="preserve"> de </w:t>
    </w:r>
    <w:r w:rsidDel="00000000" w:rsidR="00000000" w:rsidRPr="00000000">
      <w:rPr>
        <w:rFonts w:ascii="Arial" w:cs="Arial" w:eastAsia="Arial" w:hAnsi="Arial"/>
        <w:color w:val="1c2e58"/>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Pr>
      <w:drawing>
        <wp:inline distB="0" distT="0" distL="0" distR="0">
          <wp:extent cx="2158930" cy="637962"/>
          <wp:effectExtent b="0" l="0" r="0" t="0"/>
          <wp:docPr descr="Simgle 1@2x-8.png" id="1073741827" name="image1.png"/>
          <a:graphic>
            <a:graphicData uri="http://schemas.openxmlformats.org/drawingml/2006/picture">
              <pic:pic>
                <pic:nvPicPr>
                  <pic:cNvPr descr="Simgle 1@2x-8.png" id="0" name="image1.png"/>
                  <pic:cNvPicPr preferRelativeResize="0"/>
                </pic:nvPicPr>
                <pic:blipFill>
                  <a:blip r:embed="rId1"/>
                  <a:srcRect b="0" l="0" r="0" t="0"/>
                  <a:stretch>
                    <a:fillRect/>
                  </a:stretch>
                </pic:blipFill>
                <pic:spPr>
                  <a:xfrm>
                    <a:off x="0" y="0"/>
                    <a:ext cx="2158930" cy="637962"/>
                  </a:xfrm>
                  <a:prstGeom prst="rect"/>
                  <a:ln/>
                </pic:spPr>
              </pic:pic>
            </a:graphicData>
          </a:graphic>
        </wp:inline>
      </w:drawing>
    </w:r>
    <w:r w:rsidDel="00000000" w:rsidR="00000000" w:rsidRPr="00000000">
      <w:rPr>
        <w:rtl w:val="0"/>
      </w:rPr>
    </w:r>
  </w:p>
  <w:p w:rsidR="00000000" w:rsidDel="00000000" w:rsidP="00000000" w:rsidRDefault="00000000" w:rsidRPr="00000000" w14:paraId="000001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Ecofont_Spranq_eco_Sans" w:cs="Ecofont_Spranq_eco_Sans" w:eastAsia="Ecofont_Spranq_eco_Sans" w:hAnsi="Ecofont_Spranq_eco_San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b w:val="1"/>
        <w:bCs w:val="1"/>
      </w:rPr>
    </w:lvl>
    <w:lvl w:ilvl="1">
      <w:start w:val="1"/>
      <w:numFmt w:val="decimal"/>
      <w:lvlText w:val="%1.%2."/>
      <w:lvlJc w:val="left"/>
      <w:pPr>
        <w:ind w:left="9363" w:hanging="432"/>
      </w:pPr>
      <w:rPr>
        <w:b w:val="0"/>
        <w:bCs w:val="0"/>
        <w:i w:val="0"/>
        <w:iCs w:val="0"/>
        <w:strike w:val="0"/>
        <w:color w:val="000000"/>
        <w:sz w:val="20"/>
        <w:szCs w:val="20"/>
        <w:u w:val="none"/>
      </w:rPr>
    </w:lvl>
    <w:lvl w:ilvl="2">
      <w:start w:val="1"/>
      <w:numFmt w:val="decimal"/>
      <w:lvlText w:val="%1.%2.%3"/>
      <w:lvlJc w:val="left"/>
      <w:pPr>
        <w:ind w:left="6175" w:hanging="504"/>
      </w:pPr>
      <w:rPr>
        <w:b w:val="0"/>
        <w:bCs w:val="0"/>
        <w:i w:val="0"/>
        <w:iCs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lowerLetter"/>
      <w:lvlText w:val="%1)"/>
      <w:lvlJc w:val="left"/>
      <w:pPr>
        <w:ind w:left="2130" w:hanging="360"/>
      </w:pPr>
      <w:rPr/>
    </w:lvl>
    <w:lvl w:ilvl="1">
      <w:start w:val="1"/>
      <w:numFmt w:val="lowerLetter"/>
      <w:lvlText w:val="%2."/>
      <w:lvlJc w:val="left"/>
      <w:pPr>
        <w:ind w:left="2850" w:hanging="360"/>
      </w:pPr>
      <w:rPr/>
    </w:lvl>
    <w:lvl w:ilvl="2">
      <w:start w:val="1"/>
      <w:numFmt w:val="lowerRoman"/>
      <w:lvlText w:val="%3."/>
      <w:lvlJc w:val="right"/>
      <w:pPr>
        <w:ind w:left="3570" w:hanging="180"/>
      </w:pPr>
      <w:rPr/>
    </w:lvl>
    <w:lvl w:ilvl="3">
      <w:start w:val="1"/>
      <w:numFmt w:val="decimal"/>
      <w:lvlText w:val="%4."/>
      <w:lvlJc w:val="left"/>
      <w:pPr>
        <w:ind w:left="4290" w:hanging="360"/>
      </w:pPr>
      <w:rPr/>
    </w:lvl>
    <w:lvl w:ilvl="4">
      <w:start w:val="1"/>
      <w:numFmt w:val="lowerLetter"/>
      <w:lvlText w:val="%5."/>
      <w:lvlJc w:val="left"/>
      <w:pPr>
        <w:ind w:left="5010" w:hanging="360"/>
      </w:pPr>
      <w:rPr/>
    </w:lvl>
    <w:lvl w:ilvl="5">
      <w:start w:val="1"/>
      <w:numFmt w:val="lowerRoman"/>
      <w:lvlText w:val="%6."/>
      <w:lvlJc w:val="right"/>
      <w:pPr>
        <w:ind w:left="5730" w:hanging="180"/>
      </w:pPr>
      <w:rPr/>
    </w:lvl>
    <w:lvl w:ilvl="6">
      <w:start w:val="1"/>
      <w:numFmt w:val="decimal"/>
      <w:lvlText w:val="%7."/>
      <w:lvlJc w:val="left"/>
      <w:pPr>
        <w:ind w:left="6450" w:hanging="360"/>
      </w:pPr>
      <w:rPr/>
    </w:lvl>
    <w:lvl w:ilvl="7">
      <w:start w:val="1"/>
      <w:numFmt w:val="lowerLetter"/>
      <w:lvlText w:val="%8."/>
      <w:lvlJc w:val="left"/>
      <w:pPr>
        <w:ind w:left="7170" w:hanging="360"/>
      </w:pPr>
      <w:rPr/>
    </w:lvl>
    <w:lvl w:ilvl="8">
      <w:start w:val="1"/>
      <w:numFmt w:val="lowerRoman"/>
      <w:lvlText w:val="%9."/>
      <w:lvlJc w:val="right"/>
      <w:pPr>
        <w:ind w:left="7890" w:hanging="180"/>
      </w:pPr>
      <w:rPr/>
    </w:lvl>
  </w:abstractNum>
  <w:abstractNum w:abstractNumId="3">
    <w:lvl w:ilvl="0">
      <w:start w:val="1"/>
      <w:numFmt w:val="upperRoman"/>
      <w:lvlText w:val="%1)"/>
      <w:lvlJc w:val="left"/>
      <w:pPr>
        <w:ind w:left="2136" w:hanging="720"/>
      </w:pPr>
      <w:rPr/>
    </w:lvl>
    <w:lvl w:ilvl="1">
      <w:start w:val="1"/>
      <w:numFmt w:val="lowerLetter"/>
      <w:lvlText w:val="%2."/>
      <w:lvlJc w:val="left"/>
      <w:pPr>
        <w:ind w:left="2496" w:hanging="360"/>
      </w:pPr>
      <w:rPr/>
    </w:lvl>
    <w:lvl w:ilvl="2">
      <w:start w:val="1"/>
      <w:numFmt w:val="lowerRoman"/>
      <w:lvlText w:val="%3."/>
      <w:lvlJc w:val="right"/>
      <w:pPr>
        <w:ind w:left="3216" w:hanging="180"/>
      </w:pPr>
      <w:rPr/>
    </w:lvl>
    <w:lvl w:ilvl="3">
      <w:start w:val="1"/>
      <w:numFmt w:val="decimal"/>
      <w:lvlText w:val="%4."/>
      <w:lvlJc w:val="left"/>
      <w:pPr>
        <w:ind w:left="3936" w:hanging="360"/>
      </w:pPr>
      <w:rPr/>
    </w:lvl>
    <w:lvl w:ilvl="4">
      <w:start w:val="1"/>
      <w:numFmt w:val="lowerLetter"/>
      <w:lvlText w:val="%5."/>
      <w:lvlJc w:val="left"/>
      <w:pPr>
        <w:ind w:left="4656" w:hanging="360"/>
      </w:pPr>
      <w:rPr/>
    </w:lvl>
    <w:lvl w:ilvl="5">
      <w:start w:val="1"/>
      <w:numFmt w:val="lowerRoman"/>
      <w:lvlText w:val="%6."/>
      <w:lvlJc w:val="right"/>
      <w:pPr>
        <w:ind w:left="5376" w:hanging="180"/>
      </w:pPr>
      <w:rPr/>
    </w:lvl>
    <w:lvl w:ilvl="6">
      <w:start w:val="1"/>
      <w:numFmt w:val="decimal"/>
      <w:lvlText w:val="%7."/>
      <w:lvlJc w:val="left"/>
      <w:pPr>
        <w:ind w:left="6096" w:hanging="360"/>
      </w:pPr>
      <w:rPr/>
    </w:lvl>
    <w:lvl w:ilvl="7">
      <w:start w:val="1"/>
      <w:numFmt w:val="lowerLetter"/>
      <w:lvlText w:val="%8."/>
      <w:lvlJc w:val="left"/>
      <w:pPr>
        <w:ind w:left="6816" w:hanging="360"/>
      </w:pPr>
      <w:rPr/>
    </w:lvl>
    <w:lvl w:ilvl="8">
      <w:start w:val="1"/>
      <w:numFmt w:val="lowerRoman"/>
      <w:lvlText w:val="%9."/>
      <w:lvlJc w:val="right"/>
      <w:pPr>
        <w:ind w:left="7536" w:hanging="180"/>
      </w:pPr>
      <w:rPr/>
    </w:lvl>
  </w:abstractNum>
  <w:abstractNum w:abstractNumId="4">
    <w:lvl w:ilvl="0">
      <w:start w:val="1"/>
      <w:numFmt w:val="decimal"/>
      <w:lvlText w:val="%1."/>
      <w:lvlJc w:val="left"/>
      <w:pPr>
        <w:ind w:left="360" w:hanging="360"/>
      </w:pPr>
      <w:rPr>
        <w:b w:val="1"/>
        <w:bCs w:val="1"/>
      </w:rPr>
    </w:lvl>
    <w:lvl w:ilvl="1">
      <w:start w:val="1"/>
      <w:numFmt w:val="decimal"/>
      <w:lvlText w:val="%1.%2."/>
      <w:lvlJc w:val="left"/>
      <w:pPr>
        <w:ind w:left="4969" w:hanging="432"/>
      </w:pPr>
      <w:rPr>
        <w:b w:val="0"/>
        <w:bCs w:val="0"/>
        <w:i w:val="0"/>
        <w:iCs w:val="0"/>
        <w:strike w:val="0"/>
        <w:color w:val="000000"/>
        <w:sz w:val="20"/>
        <w:szCs w:val="20"/>
        <w:u w:val="none"/>
      </w:rPr>
    </w:lvl>
    <w:lvl w:ilvl="2">
      <w:start w:val="1"/>
      <w:numFmt w:val="decimal"/>
      <w:lvlText w:val="%1.%2.%3."/>
      <w:lvlJc w:val="left"/>
      <w:pPr>
        <w:ind w:left="3198" w:hanging="503.99999999999955"/>
      </w:pPr>
      <w:rPr>
        <w:rFonts w:ascii="Arial" w:cs="Arial" w:eastAsia="Arial" w:hAnsi="Arial"/>
        <w:b w:val="0"/>
        <w:bCs w:val="0"/>
        <w:i w:val="0"/>
        <w:iCs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5">
    <w:lvl w:ilvl="0">
      <w:start w:val="1"/>
      <w:numFmt w:val="decimal"/>
      <w:lvlText w:val="%1."/>
      <w:lvlJc w:val="left"/>
      <w:pPr>
        <w:ind w:left="360" w:hanging="360"/>
      </w:pPr>
      <w:rPr>
        <w:b w:val="1"/>
        <w:bCs w:val="1"/>
      </w:rPr>
    </w:lvl>
    <w:lvl w:ilvl="1">
      <w:start w:val="1"/>
      <w:numFmt w:val="decimal"/>
      <w:lvlText w:val="%1.%2."/>
      <w:lvlJc w:val="left"/>
      <w:pPr>
        <w:ind w:left="9363" w:hanging="432"/>
      </w:pPr>
      <w:rPr>
        <w:b w:val="0"/>
        <w:bCs w:val="0"/>
        <w:i w:val="0"/>
        <w:iCs w:val="0"/>
        <w:strike w:val="0"/>
        <w:color w:val="000000"/>
        <w:sz w:val="20"/>
        <w:szCs w:val="20"/>
        <w:u w:val="none"/>
      </w:rPr>
    </w:lvl>
    <w:lvl w:ilvl="2">
      <w:start w:val="1"/>
      <w:numFmt w:val="decimal"/>
      <w:lvlText w:val="%1.%2.%3"/>
      <w:lvlJc w:val="left"/>
      <w:pPr>
        <w:ind w:left="6175" w:hanging="504"/>
      </w:pPr>
      <w:rPr>
        <w:b w:val="0"/>
        <w:bCs w:val="0"/>
        <w:i w:val="0"/>
        <w:iCs w:val="0"/>
        <w:strike w:val="0"/>
        <w:color w:val="000000"/>
        <w:sz w:val="20"/>
        <w:szCs w:val="20"/>
      </w:rPr>
    </w:lvl>
    <w:lvl w:ilvl="3">
      <w:start w:val="1"/>
      <w:numFmt w:val="decimal"/>
      <w:lvlText w:val="%1.%2.%3.%4."/>
      <w:lvlJc w:val="left"/>
      <w:pPr>
        <w:ind w:left="2491" w:hanging="648"/>
      </w:pPr>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Ecofont_Spranq_eco_Sans" w:cs="Ecofont_Spranq_eco_Sans" w:eastAsia="Ecofont_Spranq_eco_Sans" w:hAnsi="Ecofont_Spranq_eco_Sans"/>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480" w:lineRule="auto"/>
      <w:ind w:left="360" w:hanging="360"/>
    </w:pPr>
    <w:rPr>
      <w:rFonts w:ascii="Arial" w:cs="Arial" w:eastAsia="Arial" w:hAnsi="Arial"/>
      <w:b w:val="1"/>
      <w:bCs w:val="1"/>
      <w:sz w:val="20"/>
      <w:szCs w:val="20"/>
    </w:rPr>
  </w:style>
  <w:style w:type="paragraph" w:styleId="Heading2">
    <w:name w:val="heading 2"/>
    <w:basedOn w:val="Normal"/>
    <w:next w:val="Normal"/>
    <w:pPr>
      <w:keepNext w:val="1"/>
      <w:spacing w:after="120" w:before="120" w:line="276" w:lineRule="auto"/>
      <w:ind w:left="0" w:firstLine="0"/>
      <w:jc w:val="both"/>
    </w:pPr>
    <w:rPr>
      <w:rFonts w:ascii="Arial" w:cs="Arial" w:eastAsia="Arial" w:hAnsi="Arial"/>
      <w:sz w:val="20"/>
      <w:szCs w:val="20"/>
    </w:rPr>
  </w:style>
  <w:style w:type="paragraph" w:styleId="Heading3">
    <w:name w:val="heading 3"/>
    <w:basedOn w:val="Normal"/>
    <w:next w:val="Normal"/>
    <w:pPr>
      <w:keepNext w:val="1"/>
      <w:keepLines w:val="1"/>
      <w:spacing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before="40" w:lineRule="auto"/>
    </w:pPr>
    <w:rPr>
      <w:rFonts w:ascii="Calibri" w:cs="Calibri" w:eastAsia="Calibri" w:hAnsi="Calibri"/>
      <w:i w:val="1"/>
      <w:iCs w:val="1"/>
      <w:color w:val="366091"/>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spacing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lineRule="auto"/>
    </w:pPr>
    <w:rPr>
      <w:rFonts w:ascii="Calibri" w:cs="Calibri" w:eastAsia="Calibri" w:hAnsi="Calibri"/>
      <w:color w:val="17365d"/>
      <w:sz w:val="52"/>
      <w:szCs w:val="5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paragraph" w:styleId="PargrafodaLista">
    <w:name w:val="List Paragraph"/>
    <w:basedOn w:val="Normal"/>
    <w:link w:val="PargrafodaListaChar"/>
    <w:uiPriority w:val="34"/>
    <w:rsid w:val="004773FC"/>
    <w:pPr>
      <w:ind w:left="720"/>
      <w:contextualSpacing w:val="1"/>
    </w:pPr>
  </w:style>
  <w:style w:type="paragraph" w:styleId="NormalWeb">
    <w:name w:val="Normal (Web)"/>
    <w:basedOn w:val="Normal"/>
    <w:uiPriority w:val="99"/>
    <w:rsid w:val="006B156A"/>
    <w:pPr>
      <w:spacing w:after="100" w:afterAutospacing="1" w:before="100" w:beforeAutospacing="1"/>
    </w:pPr>
    <w:rPr>
      <w:rFonts w:ascii="Times New Roman" w:cs="Times New Roman" w:hAnsi="Times New Roman"/>
    </w:rPr>
  </w:style>
  <w:style w:type="paragraph" w:styleId="Textodebalo">
    <w:name w:val="Balloon Text"/>
    <w:basedOn w:val="Normal"/>
    <w:link w:val="TextodebaloChar"/>
    <w:uiPriority w:val="99"/>
    <w:rsid w:val="003A73C1"/>
    <w:rPr>
      <w:rFonts w:ascii="Tahoma" w:hAnsi="Tahoma"/>
      <w:sz w:val="16"/>
      <w:szCs w:val="16"/>
    </w:rPr>
  </w:style>
  <w:style w:type="character" w:styleId="TextodebaloChar" w:customStyle="1">
    <w:name w:val="Texto de balão Char"/>
    <w:link w:val="Textodebalo"/>
    <w:uiPriority w:val="99"/>
    <w:rsid w:val="003A73C1"/>
    <w:rPr>
      <w:rFonts w:ascii="Tahoma" w:cs="Tahoma" w:hAnsi="Tahoma"/>
      <w:sz w:val="16"/>
      <w:szCs w:val="16"/>
    </w:rPr>
  </w:style>
  <w:style w:type="character" w:styleId="Ttulo2Char" w:customStyle="1">
    <w:name w:val="Título 2 Char"/>
    <w:link w:val="Ttulo2"/>
    <w:rsid w:val="00E14B42"/>
    <w:rPr>
      <w:rFonts w:ascii="Arial" w:hAnsi="Arial"/>
      <w:lang w:eastAsia="pt-BR"/>
    </w:rPr>
  </w:style>
  <w:style w:type="paragraph" w:styleId="Nvel2" w:customStyle="1">
    <w:name w:val="Nível 2"/>
    <w:basedOn w:val="Normal"/>
    <w:next w:val="Normal"/>
    <w:rsid w:val="00D30A43"/>
    <w:pPr>
      <w:spacing w:after="120"/>
      <w:jc w:val="both"/>
    </w:pPr>
    <w:rPr>
      <w:rFonts w:ascii="Arial" w:cs="Times New Roman" w:hAnsi="Arial"/>
      <w:b w:val="1"/>
      <w:szCs w:val="20"/>
    </w:rPr>
  </w:style>
  <w:style w:type="character" w:styleId="normalchar1" w:customStyle="1">
    <w:name w:val="normal__char1"/>
    <w:rsid w:val="008D51CC"/>
    <w:rPr>
      <w:rFonts w:ascii="Arial" w:cs="Arial" w:hAnsi="Arial" w:hint="default"/>
      <w:strike w:val="0"/>
      <w:dstrike w:val="0"/>
      <w:sz w:val="24"/>
      <w:szCs w:val="24"/>
      <w:u w:val="none"/>
      <w:effect w:val="none"/>
    </w:rPr>
  </w:style>
  <w:style w:type="character" w:styleId="apple-style-span" w:customStyle="1">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eastAsia="Calibri" w:hAnsi="Arial"/>
      <w:i w:val="1"/>
      <w:iCs w:val="1"/>
      <w:color w:val="000000"/>
      <w:sz w:val="20"/>
      <w:lang w:eastAsia="en-US"/>
    </w:rPr>
  </w:style>
  <w:style w:type="character" w:styleId="CitaoChar" w:customStyle="1">
    <w:name w:val="Citação Char"/>
    <w:aliases w:val="TCU Char,Citação AGU Char,NotaExplicativa Char"/>
    <w:link w:val="Citao"/>
    <w:uiPriority w:val="29"/>
    <w:qFormat w:val="1"/>
    <w:rsid w:val="00080B53"/>
    <w:rPr>
      <w:rFonts w:ascii="Arial" w:cs="Tahoma" w:eastAsia="Calibri" w:hAnsi="Arial"/>
      <w:i w:val="1"/>
      <w:iCs w:val="1"/>
      <w:color w:val="000000"/>
      <w:szCs w:val="24"/>
      <w:shd w:color="auto" w:fill="ffffcc" w:val="clear"/>
    </w:rPr>
  </w:style>
  <w:style w:type="paragraph" w:styleId="Commarcadores5">
    <w:name w:val="List Bullet 5"/>
    <w:basedOn w:val="Normal"/>
    <w:rsid w:val="001A3A05"/>
    <w:pPr>
      <w:numPr>
        <w:numId w:val="1"/>
      </w:numPr>
      <w:contextualSpacing w:val="1"/>
    </w:pPr>
  </w:style>
  <w:style w:type="paragraph" w:styleId="Notaexplicativa" w:customStyle="1">
    <w:name w:val="Nota explicativa"/>
    <w:basedOn w:val="Citao"/>
    <w:link w:val="NotaexplicativaChar"/>
    <w:rsid w:val="00265FB6"/>
    <w:rPr>
      <w:szCs w:val="20"/>
    </w:rPr>
  </w:style>
  <w:style w:type="character" w:styleId="NotaexplicativaChar" w:customStyle="1">
    <w:name w:val="Nota explicativa Char"/>
    <w:basedOn w:val="CitaoChar"/>
    <w:link w:val="Notaexplicativa"/>
    <w:rsid w:val="00265FB6"/>
    <w:rPr>
      <w:rFonts w:ascii="Arial" w:cs="Tahoma" w:eastAsia="Calibri" w:hAnsi="Arial"/>
      <w:i w:val="1"/>
      <w:iCs w:val="1"/>
      <w:color w:val="000000"/>
      <w:szCs w:val="24"/>
      <w:shd w:color="auto" w:fill="ffffcc" w:val="clear"/>
    </w:rPr>
  </w:style>
  <w:style w:type="paragraph" w:styleId="Cabealho">
    <w:name w:val="header"/>
    <w:basedOn w:val="Normal"/>
    <w:link w:val="CabealhoChar"/>
    <w:uiPriority w:val="99"/>
    <w:rsid w:val="00CA24FB"/>
    <w:pPr>
      <w:tabs>
        <w:tab w:val="center" w:pos="4252"/>
        <w:tab w:val="right" w:pos="8504"/>
      </w:tabs>
    </w:pPr>
  </w:style>
  <w:style w:type="character" w:styleId="CabealhoChar" w:customStyle="1">
    <w:name w:val="Cabeçalho Char"/>
    <w:link w:val="Cabealho"/>
    <w:uiPriority w:val="99"/>
    <w:rsid w:val="00CA24FB"/>
    <w:rPr>
      <w:rFonts w:ascii="Ecofont_Spranq_eco_Sans" w:cs="Tahoma" w:hAnsi="Ecofont_Spranq_eco_Sans"/>
      <w:sz w:val="24"/>
      <w:szCs w:val="24"/>
    </w:rPr>
  </w:style>
  <w:style w:type="paragraph" w:styleId="Rodap">
    <w:name w:val="footer"/>
    <w:basedOn w:val="Normal"/>
    <w:link w:val="RodapChar"/>
    <w:uiPriority w:val="99"/>
    <w:rsid w:val="00CA24FB"/>
    <w:pPr>
      <w:tabs>
        <w:tab w:val="center" w:pos="4252"/>
        <w:tab w:val="right" w:pos="8504"/>
      </w:tabs>
    </w:pPr>
  </w:style>
  <w:style w:type="character" w:styleId="RodapChar" w:customStyle="1">
    <w:name w:val="Rodapé Char"/>
    <w:link w:val="Rodap"/>
    <w:uiPriority w:val="99"/>
    <w:qFormat w:val="1"/>
    <w:rsid w:val="00CA24FB"/>
    <w:rPr>
      <w:rFonts w:ascii="Ecofont_Spranq_eco_Sans" w:cs="Tahoma" w:hAnsi="Ecofont_Spranq_eco_Sans"/>
      <w:sz w:val="24"/>
      <w:szCs w:val="24"/>
    </w:rPr>
  </w:style>
  <w:style w:type="numbering" w:styleId="Estilo1" w:customStyle="1">
    <w:name w:val="Estilo1"/>
    <w:uiPriority w:val="99"/>
    <w:rsid w:val="008C6874"/>
    <w:pPr>
      <w:numPr>
        <w:numId w:val="2"/>
      </w:numPr>
    </w:pPr>
  </w:style>
  <w:style w:type="numbering" w:styleId="Estilo2" w:customStyle="1">
    <w:name w:val="Estilo2"/>
    <w:uiPriority w:val="99"/>
    <w:rsid w:val="00A72B79"/>
    <w:pPr>
      <w:numPr>
        <w:numId w:val="3"/>
      </w:numPr>
    </w:pPr>
  </w:style>
  <w:style w:type="numbering" w:styleId="Estilo3" w:customStyle="1">
    <w:name w:val="Estilo3"/>
    <w:uiPriority w:val="99"/>
    <w:rsid w:val="00A72B79"/>
    <w:pPr>
      <w:numPr>
        <w:numId w:val="4"/>
      </w:numPr>
    </w:pPr>
  </w:style>
  <w:style w:type="numbering" w:styleId="Estilo4" w:customStyle="1">
    <w:name w:val="Estilo4"/>
    <w:uiPriority w:val="99"/>
    <w:rsid w:val="0054016D"/>
    <w:pPr>
      <w:numPr>
        <w:numId w:val="5"/>
      </w:numPr>
    </w:pPr>
  </w:style>
  <w:style w:type="numbering" w:styleId="Estilo5" w:customStyle="1">
    <w:name w:val="Estilo5"/>
    <w:uiPriority w:val="99"/>
    <w:rsid w:val="0054016D"/>
    <w:pPr>
      <w:numPr>
        <w:numId w:val="6"/>
      </w:numPr>
    </w:pPr>
  </w:style>
  <w:style w:type="numbering" w:styleId="Estilo6" w:customStyle="1">
    <w:name w:val="Estilo6"/>
    <w:uiPriority w:val="99"/>
    <w:rsid w:val="0054016D"/>
    <w:pPr>
      <w:numPr>
        <w:numId w:val="7"/>
      </w:numPr>
    </w:pPr>
  </w:style>
  <w:style w:type="character" w:styleId="Refdecomentrio">
    <w:name w:val="annotation reference"/>
    <w:basedOn w:val="Fontepargpadro"/>
    <w:uiPriority w:val="99"/>
    <w:unhideWhenUsed w:val="1"/>
    <w:qFormat w:val="1"/>
    <w:rsid w:val="00430FDB"/>
    <w:rPr>
      <w:sz w:val="16"/>
      <w:szCs w:val="16"/>
    </w:rPr>
  </w:style>
  <w:style w:type="paragraph" w:styleId="Textodecomentrio">
    <w:name w:val="annotation text"/>
    <w:basedOn w:val="Normal"/>
    <w:link w:val="TextodecomentrioChar"/>
    <w:uiPriority w:val="99"/>
    <w:unhideWhenUsed w:val="1"/>
    <w:qFormat w:val="1"/>
    <w:rsid w:val="00D30A43"/>
    <w:rPr>
      <w:sz w:val="20"/>
      <w:szCs w:val="20"/>
    </w:rPr>
  </w:style>
  <w:style w:type="character" w:styleId="TextodecomentrioChar" w:customStyle="1">
    <w:name w:val="Texto de comentário Char"/>
    <w:basedOn w:val="Fontepargpadro"/>
    <w:link w:val="Textodecomentrio"/>
    <w:uiPriority w:val="99"/>
    <w:qFormat w:val="1"/>
    <w:rsid w:val="00430FDB"/>
    <w:rPr>
      <w:rFonts w:ascii="Ecofont_Spranq_eco_Sans" w:cs="Tahoma" w:hAnsi="Ecofont_Spranq_eco_Sans"/>
      <w:lang w:eastAsia="pt-BR"/>
    </w:rPr>
  </w:style>
  <w:style w:type="paragraph" w:styleId="Assuntodocomentrio">
    <w:name w:val="annotation subject"/>
    <w:basedOn w:val="Textodecomentrio"/>
    <w:next w:val="Textodecomentrio"/>
    <w:link w:val="AssuntodocomentrioChar"/>
    <w:uiPriority w:val="99"/>
    <w:semiHidden w:val="1"/>
    <w:unhideWhenUsed w:val="1"/>
    <w:rsid w:val="00430FDB"/>
    <w:rPr>
      <w:b w:val="1"/>
      <w:bCs w:val="1"/>
    </w:rPr>
  </w:style>
  <w:style w:type="character" w:styleId="AssuntodocomentrioChar" w:customStyle="1">
    <w:name w:val="Assunto do comentário Char"/>
    <w:basedOn w:val="TextodecomentrioChar"/>
    <w:link w:val="Assuntodocomentrio"/>
    <w:uiPriority w:val="99"/>
    <w:semiHidden w:val="1"/>
    <w:rsid w:val="00430FDB"/>
    <w:rPr>
      <w:rFonts w:ascii="Ecofont_Spranq_eco_Sans" w:cs="Tahoma" w:hAnsi="Ecofont_Spranq_eco_Sans"/>
      <w:b w:val="1"/>
      <w:bCs w:val="1"/>
      <w:lang w:eastAsia="pt-BR"/>
    </w:rPr>
  </w:style>
  <w:style w:type="character" w:styleId="Ttulo4Char" w:customStyle="1">
    <w:name w:val="Título 4 Char"/>
    <w:basedOn w:val="Fontepargpadro"/>
    <w:link w:val="Ttulo4"/>
    <w:rsid w:val="00A45A85"/>
    <w:rPr>
      <w:rFonts w:asciiTheme="majorHAnsi" w:cstheme="majorBidi" w:eastAsiaTheme="majorEastAsia" w:hAnsiTheme="majorHAnsi"/>
      <w:i w:val="1"/>
      <w:iCs w:val="1"/>
      <w:color w:val="365f91" w:themeColor="accent1" w:themeShade="0000BF"/>
      <w:sz w:val="24"/>
      <w:szCs w:val="24"/>
      <w:lang w:eastAsia="pt-BR"/>
    </w:rPr>
  </w:style>
  <w:style w:type="paragraph" w:styleId="Nivel01" w:customStyle="1">
    <w:name w:val="Nivel 01"/>
    <w:basedOn w:val="Nvel02"/>
    <w:next w:val="Normal"/>
    <w:link w:val="Nivel01Char"/>
    <w:autoRedefine w:val="1"/>
    <w:qFormat w:val="1"/>
    <w:rsid w:val="00EF618B"/>
    <w:pPr>
      <w:numPr>
        <w:ilvl w:val="0"/>
      </w:numPr>
      <w:ind w:left="357" w:hanging="357"/>
      <w:outlineLvl w:val="0"/>
    </w:pPr>
    <w:rPr>
      <w:b w:val="1"/>
    </w:rPr>
  </w:style>
  <w:style w:type="paragraph" w:styleId="Nivel01Titulo" w:customStyle="1">
    <w:name w:val="Nivel_01_Titulo"/>
    <w:basedOn w:val="Nivel01"/>
    <w:link w:val="Nivel01TituloChar"/>
    <w:rsid w:val="00E967EA"/>
    <w:pPr>
      <w:jc w:val="left"/>
    </w:pPr>
    <w:rPr>
      <w:rFonts w:cstheme="majorBidi"/>
      <w:spacing w:val="5"/>
      <w:kern w:val="28"/>
      <w:sz w:val="52"/>
      <w:szCs w:val="52"/>
    </w:rPr>
  </w:style>
  <w:style w:type="character" w:styleId="TtuloChar" w:customStyle="1">
    <w:name w:val="Título Char"/>
    <w:basedOn w:val="Fontepargpadro"/>
    <w:link w:val="Ttulo"/>
    <w:rsid w:val="007F77AD"/>
    <w:rPr>
      <w:rFonts w:asciiTheme="majorHAnsi" w:cstheme="majorBidi" w:eastAsiaTheme="majorEastAsia" w:hAnsiTheme="majorHAnsi"/>
      <w:color w:val="17365d" w:themeColor="text2" w:themeShade="0000BF"/>
      <w:spacing w:val="5"/>
      <w:kern w:val="28"/>
      <w:sz w:val="52"/>
      <w:szCs w:val="52"/>
      <w:lang w:eastAsia="pt-BR"/>
    </w:rPr>
  </w:style>
  <w:style w:type="character" w:styleId="Nivel01Char" w:customStyle="1">
    <w:name w:val="Nivel 01 Char"/>
    <w:basedOn w:val="TtuloChar"/>
    <w:link w:val="Nivel01"/>
    <w:rsid w:val="00EF618B"/>
    <w:rPr>
      <w:rFonts w:ascii="Arial" w:cs="Arial" w:eastAsia="Arial" w:hAnsi="Arial"/>
      <w:b w:val="1"/>
      <w:iCs w:val="1"/>
      <w:color w:val="17365d" w:themeColor="text2" w:themeShade="0000BF"/>
      <w:spacing w:val="5"/>
      <w:kern w:val="28"/>
      <w:sz w:val="52"/>
      <w:szCs w:val="52"/>
      <w:lang w:eastAsia="pt-BR"/>
    </w:rPr>
  </w:style>
  <w:style w:type="character" w:styleId="Ttulo1Char" w:customStyle="1">
    <w:name w:val="Título 1 Char"/>
    <w:basedOn w:val="Fontepargpadro"/>
    <w:link w:val="Ttulo1"/>
    <w:uiPriority w:val="9"/>
    <w:rsid w:val="00501CB5"/>
    <w:rPr>
      <w:rFonts w:ascii="Arial" w:hAnsi="Arial" w:cstheme="majorBidi" w:eastAsiaTheme="majorEastAsia"/>
      <w:b w:val="1"/>
      <w:bCs w:val="1"/>
      <w:szCs w:val="28"/>
      <w:lang w:eastAsia="pt-BR"/>
    </w:rPr>
  </w:style>
  <w:style w:type="character" w:styleId="Nivel01TituloChar" w:customStyle="1">
    <w:name w:val="Nivel_01_Titulo Char"/>
    <w:basedOn w:val="Nivel01Char"/>
    <w:link w:val="Nivel01Titulo"/>
    <w:qFormat w:val="1"/>
    <w:rsid w:val="00E967EA"/>
    <w:rPr>
      <w:rFonts w:ascii="Arial" w:hAnsi="Arial" w:cstheme="majorBidi" w:eastAsiaTheme="majorEastAsia"/>
      <w:b w:val="1"/>
      <w:bCs w:val="0"/>
      <w:iCs w:val="1"/>
      <w:vanish w:val="0"/>
      <w:color w:val="000000" w:themeColor="text1"/>
      <w:spacing w:val="5"/>
      <w:kern w:val="28"/>
      <w:sz w:val="52"/>
      <w:szCs w:val="52"/>
      <w:lang w:eastAsia="pt-BR"/>
    </w:rPr>
  </w:style>
  <w:style w:type="table" w:styleId="Tabelacomgrade">
    <w:name w:val="Table Grid"/>
    <w:basedOn w:val="Tabelanormal"/>
    <w:rsid w:val="00DB54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DRO" w:customStyle="1">
    <w:name w:val="PADRÃO"/>
    <w:rsid w:val="001E2495"/>
    <w:pPr>
      <w:keepNext w:val="1"/>
      <w:widowControl w:val="0"/>
      <w:shd w:color="auto" w:fill="ffffff" w:val="clear"/>
      <w:spacing w:after="119" w:before="119" w:line="276" w:lineRule="auto"/>
      <w:ind w:firstLine="567"/>
      <w:jc w:val="both"/>
      <w:textAlignment w:val="baseline"/>
    </w:pPr>
    <w:rPr>
      <w:rFonts w:ascii="Ecofont_Spranq_eco_Sans" w:cs="Lohit Hindi" w:eastAsia="WenQuanYi Micro Hei" w:hAnsi="Ecofont_Spranq_eco_Sans"/>
      <w:szCs w:val="24"/>
      <w:lang w:bidi="hi-IN" w:eastAsia="zh-CN"/>
    </w:rPr>
  </w:style>
  <w:style w:type="character" w:styleId="QuoteChar" w:customStyle="1">
    <w:name w:val="Quote Char"/>
    <w:basedOn w:val="Fontepargpadro"/>
    <w:link w:val="Citao1"/>
    <w:rsid w:val="00B77761"/>
    <w:rPr>
      <w:rFonts w:ascii="Ecofont_Spranq_eco_Sans" w:cs="Tahoma" w:eastAsia="Calibri" w:hAnsi="Ecofont_Spranq_eco_Sans"/>
      <w:i w:val="1"/>
      <w:iCs w:val="1"/>
      <w:color w:val="000000"/>
      <w:shd w:color="auto" w:fill="ffffcc" w:val="clear"/>
    </w:rPr>
  </w:style>
  <w:style w:type="paragraph" w:styleId="Citao1" w:customStyle="1">
    <w:name w:val="Citação1"/>
    <w:basedOn w:val="Normal"/>
    <w:next w:val="Normal"/>
    <w:link w:val="QuoteChar"/>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eastAsia="Calibri"/>
      <w:i w:val="1"/>
      <w:iCs w:val="1"/>
      <w:color w:val="000000"/>
      <w:sz w:val="20"/>
      <w:szCs w:val="20"/>
      <w:lang w:eastAsia="en-US"/>
    </w:rPr>
  </w:style>
  <w:style w:type="paragraph" w:styleId="paragraph" w:customStyle="1">
    <w:name w:val="paragraph"/>
    <w:basedOn w:val="Normal"/>
    <w:rsid w:val="00D30A43"/>
    <w:pPr>
      <w:spacing w:after="100" w:afterAutospacing="1" w:before="100" w:beforeAutospacing="1"/>
    </w:pPr>
    <w:rPr>
      <w:rFonts w:ascii="Times New Roman" w:cs="Times New Roman" w:eastAsia="Times New Roman" w:hAnsi="Times New Roman"/>
    </w:rPr>
  </w:style>
  <w:style w:type="character" w:styleId="normaltextrun" w:customStyle="1">
    <w:name w:val="normaltextrun"/>
    <w:basedOn w:val="Fontepargpadro"/>
    <w:rsid w:val="0053119E"/>
  </w:style>
  <w:style w:type="character" w:styleId="eop" w:customStyle="1">
    <w:name w:val="eop"/>
    <w:basedOn w:val="Fontepargpadro"/>
    <w:rsid w:val="0053119E"/>
  </w:style>
  <w:style w:type="character" w:styleId="spellingerror" w:customStyle="1">
    <w:name w:val="spellingerror"/>
    <w:basedOn w:val="Fontepargpadro"/>
    <w:rsid w:val="0053119E"/>
  </w:style>
  <w:style w:type="paragraph" w:styleId="Corpodetexto">
    <w:name w:val="Body Text"/>
    <w:basedOn w:val="Normal"/>
    <w:link w:val="CorpodetextoChar"/>
    <w:uiPriority w:val="99"/>
    <w:unhideWhenUsed w:val="1"/>
    <w:rsid w:val="00D30A43"/>
    <w:pPr>
      <w:spacing w:after="100" w:afterAutospacing="1" w:before="100" w:beforeAutospacing="1"/>
    </w:pPr>
    <w:rPr>
      <w:rFonts w:ascii="Times New Roman" w:cs="Times New Roman" w:eastAsia="Times New Roman" w:hAnsi="Times New Roman"/>
    </w:rPr>
  </w:style>
  <w:style w:type="character" w:styleId="CorpodetextoChar" w:customStyle="1">
    <w:name w:val="Corpo de texto Char"/>
    <w:basedOn w:val="Fontepargpadro"/>
    <w:link w:val="Corpodetexto"/>
    <w:uiPriority w:val="99"/>
    <w:rsid w:val="00405763"/>
    <w:rPr>
      <w:rFonts w:eastAsia="Times New Roman"/>
      <w:sz w:val="24"/>
      <w:szCs w:val="24"/>
      <w:lang w:eastAsia="pt-BR"/>
    </w:rPr>
  </w:style>
  <w:style w:type="paragraph" w:styleId="Nivel1" w:customStyle="1">
    <w:name w:val="Nivel1"/>
    <w:basedOn w:val="Ttulo1"/>
    <w:link w:val="Nivel1Char"/>
    <w:rsid w:val="00D30A43"/>
    <w:pPr>
      <w:spacing w:line="276" w:lineRule="auto"/>
      <w:ind w:left="357" w:hanging="357"/>
      <w:jc w:val="both"/>
    </w:pPr>
    <w:rPr>
      <w:rFonts w:cs="Arial"/>
      <w:bCs w:val="0"/>
      <w:color w:val="000000"/>
    </w:rPr>
  </w:style>
  <w:style w:type="character" w:styleId="Nivel1Char" w:customStyle="1">
    <w:name w:val="Nivel1 Char"/>
    <w:basedOn w:val="Ttulo1Char"/>
    <w:link w:val="Nivel1"/>
    <w:rsid w:val="001B6423"/>
    <w:rPr>
      <w:rFonts w:ascii="Arial" w:cs="Arial" w:hAnsi="Arial" w:eastAsiaTheme="majorEastAsia"/>
      <w:b w:val="1"/>
      <w:bCs w:val="0"/>
      <w:color w:val="000000"/>
      <w:szCs w:val="28"/>
      <w:lang w:eastAsia="pt-BR"/>
    </w:rPr>
  </w:style>
  <w:style w:type="paragraph" w:styleId="PargrafodaLista1" w:customStyle="1">
    <w:name w:val="Parágrafo da Lista1"/>
    <w:basedOn w:val="Normal"/>
    <w:rsid w:val="00D30A43"/>
    <w:pPr>
      <w:ind w:left="720"/>
    </w:pPr>
    <w:rPr>
      <w:rFonts w:cs="Ecofont_Spranq_eco_Sans" w:eastAsia="Times New Roman"/>
    </w:rPr>
  </w:style>
  <w:style w:type="paragraph" w:styleId="Nivel2-Opcional" w:customStyle="1">
    <w:name w:val="Nivel 2-Opcional"/>
    <w:basedOn w:val="Normal"/>
    <w:link w:val="Nivel2-OpcionalChar"/>
    <w:autoRedefine w:val="1"/>
    <w:rsid w:val="00EE5824"/>
    <w:pPr>
      <w:numPr>
        <w:ilvl w:val="1"/>
        <w:numId w:val="9"/>
      </w:numPr>
      <w:shd w:color="auto" w:fill="76923c" w:themeFill="accent3" w:themeFillShade="0000BF" w:val="clear"/>
      <w:spacing w:after="120" w:before="120" w:line="276" w:lineRule="auto"/>
      <w:ind w:left="0" w:firstLine="0"/>
      <w:jc w:val="both"/>
    </w:pPr>
    <w:rPr>
      <w:rFonts w:ascii="Arial" w:cs="Arial" w:eastAsia="Arial" w:hAnsi="Arial"/>
      <w:i w:val="1"/>
      <w:color w:val="ff0000"/>
      <w:sz w:val="20"/>
      <w:szCs w:val="20"/>
    </w:rPr>
  </w:style>
  <w:style w:type="paragraph" w:styleId="Nivel10" w:customStyle="1">
    <w:name w:val="Nivel 1"/>
    <w:basedOn w:val="Nivel2-Opcional"/>
    <w:next w:val="Nivel2-Opcional"/>
    <w:rsid w:val="003629E4"/>
    <w:pPr>
      <w:numPr>
        <w:ilvl w:val="0"/>
        <w:numId w:val="0"/>
      </w:numPr>
      <w:ind w:left="360" w:hanging="360"/>
    </w:pPr>
    <w:rPr>
      <w:b w:val="1"/>
    </w:rPr>
  </w:style>
  <w:style w:type="paragraph" w:styleId="Nivel3-erro" w:customStyle="1">
    <w:name w:val="Nivel 3-erro"/>
    <w:basedOn w:val="Nivel3"/>
    <w:link w:val="Nivel3-erroChar"/>
    <w:autoRedefine w:val="1"/>
    <w:rsid w:val="00667C40"/>
    <w:pPr>
      <w:numPr>
        <w:ilvl w:val="0"/>
        <w:numId w:val="8"/>
      </w:numPr>
      <w:ind w:left="993" w:firstLine="0"/>
    </w:pPr>
  </w:style>
  <w:style w:type="paragraph" w:styleId="Nivel4" w:customStyle="1">
    <w:name w:val="Nivel 4"/>
    <w:basedOn w:val="Nvel4-R"/>
    <w:link w:val="Nivel4Char"/>
    <w:autoRedefine w:val="1"/>
    <w:qFormat w:val="1"/>
    <w:rsid w:val="00711273"/>
    <w:rPr>
      <w:i w:val="0"/>
    </w:rPr>
  </w:style>
  <w:style w:type="paragraph" w:styleId="Nivel5" w:customStyle="1">
    <w:name w:val="Nivel 5"/>
    <w:basedOn w:val="Nvel4-R"/>
    <w:autoRedefine w:val="1"/>
    <w:qFormat w:val="1"/>
    <w:rsid w:val="007F2731"/>
    <w:pPr>
      <w:numPr>
        <w:ilvl w:val="4"/>
      </w:numPr>
      <w:ind w:left="851" w:firstLine="0"/>
    </w:pPr>
  </w:style>
  <w:style w:type="character" w:styleId="Nivel4Char" w:customStyle="1">
    <w:name w:val="Nivel 4 Char"/>
    <w:basedOn w:val="Fontepargpadro"/>
    <w:link w:val="Nivel4"/>
    <w:rsid w:val="00711273"/>
    <w:rPr>
      <w:rFonts w:ascii="Arial" w:cs="Arial" w:hAnsi="Arial"/>
      <w:bCs w:val="1"/>
      <w:lang w:eastAsia="pt-BR"/>
    </w:rPr>
  </w:style>
  <w:style w:type="paragraph" w:styleId="textbody" w:customStyle="1">
    <w:name w:val="textbody"/>
    <w:basedOn w:val="Normal"/>
    <w:rsid w:val="00D30A43"/>
    <w:pPr>
      <w:spacing w:after="100" w:afterAutospacing="1" w:before="100" w:beforeAutospacing="1"/>
    </w:pPr>
    <w:rPr>
      <w:rFonts w:ascii="Times New Roman" w:cs="Times New Roman" w:eastAsia="Times New Roman" w:hAnsi="Times New Roman"/>
    </w:rPr>
  </w:style>
  <w:style w:type="paragraph" w:styleId="em0020ementa" w:customStyle="1">
    <w:name w:val="em_0020ementa"/>
    <w:basedOn w:val="Normal"/>
    <w:rsid w:val="00D30A43"/>
    <w:pPr>
      <w:ind w:left="4160"/>
      <w:jc w:val="both"/>
    </w:pPr>
    <w:rPr>
      <w:rFonts w:ascii="Times New Roman" w:cs="Times New Roman" w:eastAsia="Times New Roman" w:hAnsi="Times New Roman"/>
      <w:sz w:val="28"/>
      <w:szCs w:val="28"/>
    </w:rPr>
  </w:style>
  <w:style w:type="character" w:styleId="cp0020corpodespachochar1" w:customStyle="1">
    <w:name w:val="cp_0020corpodespacho__char1"/>
    <w:rsid w:val="00D30A43"/>
    <w:rPr>
      <w:rFonts w:ascii="Times New Roman" w:cs="Times New Roman" w:hAnsi="Times New Roman" w:hint="default"/>
      <w:strike w:val="0"/>
      <w:dstrike w:val="0"/>
      <w:sz w:val="26"/>
      <w:szCs w:val="26"/>
      <w:u w:val="none"/>
      <w:effect w:val="none"/>
    </w:rPr>
  </w:style>
  <w:style w:type="character" w:styleId="em0020ementachar1" w:customStyle="1">
    <w:name w:val="em_0020ementa__char1"/>
    <w:rsid w:val="00D30A43"/>
    <w:rPr>
      <w:rFonts w:ascii="Times New Roman" w:cs="Times New Roman" w:hAnsi="Times New Roman" w:hint="default"/>
      <w:strike w:val="0"/>
      <w:dstrike w:val="0"/>
      <w:sz w:val="28"/>
      <w:szCs w:val="28"/>
      <w:u w:val="none"/>
      <w:effect w:val="none"/>
    </w:rPr>
  </w:style>
  <w:style w:type="paragraph" w:styleId="Reviso">
    <w:name w:val="Revision"/>
    <w:hidden w:val="1"/>
    <w:uiPriority w:val="99"/>
    <w:semiHidden w:val="1"/>
    <w:rsid w:val="00D30A43"/>
    <w:rPr>
      <w:rFonts w:ascii="Ecofont_Spranq_eco_Sans" w:cs="Tahoma" w:eastAsia="Times New Roman" w:hAnsi="Ecofont_Spranq_eco_Sans"/>
      <w:sz w:val="24"/>
      <w:szCs w:val="24"/>
      <w:lang w:eastAsia="pt-BR"/>
    </w:rPr>
  </w:style>
  <w:style w:type="character" w:styleId="Forte">
    <w:name w:val="Strong"/>
    <w:basedOn w:val="Fontepargpadro"/>
    <w:uiPriority w:val="22"/>
    <w:qFormat w:val="1"/>
    <w:rsid w:val="00D30A43"/>
    <w:rPr>
      <w:b w:val="1"/>
      <w:bCs w:val="1"/>
    </w:rPr>
  </w:style>
  <w:style w:type="character" w:styleId="nfase">
    <w:name w:val="Emphasis"/>
    <w:basedOn w:val="Fontepargpadro"/>
    <w:uiPriority w:val="20"/>
    <w:rsid w:val="00D30A43"/>
    <w:rPr>
      <w:i w:val="1"/>
      <w:iCs w:val="1"/>
    </w:rPr>
  </w:style>
  <w:style w:type="character" w:styleId="Manoel" w:customStyle="1">
    <w:name w:val="Manoel"/>
    <w:rsid w:val="00D30A43"/>
    <w:rPr>
      <w:rFonts w:ascii="Arial" w:cs="Arial" w:hAnsi="Arial"/>
      <w:color w:val="7030a0"/>
      <w:sz w:val="20"/>
    </w:rPr>
  </w:style>
  <w:style w:type="character" w:styleId="ListLabel12" w:customStyle="1">
    <w:name w:val="ListLabel 12"/>
    <w:rsid w:val="00D30A43"/>
    <w:rPr>
      <w:b w:val="1"/>
    </w:rPr>
  </w:style>
  <w:style w:type="paragraph" w:styleId="texto1" w:customStyle="1">
    <w:name w:val="texto1"/>
    <w:basedOn w:val="Normal"/>
    <w:rsid w:val="00D30A43"/>
    <w:pPr>
      <w:spacing w:after="100" w:afterAutospacing="1" w:before="100" w:beforeAutospacing="1"/>
    </w:pPr>
    <w:rPr>
      <w:rFonts w:ascii="Times New Roman" w:cs="Times New Roman" w:eastAsia="Times New Roman" w:hAnsi="Times New Roman"/>
    </w:rPr>
  </w:style>
  <w:style w:type="paragraph" w:styleId="GradeColorida-nfase11" w:customStyle="1">
    <w:name w:val="Grade Colorida - Ênfase 11"/>
    <w:basedOn w:val="Normal"/>
    <w:next w:val="Normal"/>
    <w:link w:val="GradeColorida-nfase1Char"/>
    <w:uiPriority w:val="29"/>
    <w:rsid w:val="00D30A43"/>
    <w:pPr>
      <w:pBdr>
        <w:top w:color="1f497d" w:space="1" w:sz="4" w:val="single"/>
        <w:left w:color="1f497d" w:space="4" w:sz="4" w:val="single"/>
        <w:bottom w:color="1f497d" w:space="1" w:sz="4" w:val="single"/>
        <w:right w:color="1f497d" w:space="4" w:sz="4" w:val="single"/>
      </w:pBdr>
      <w:shd w:color="auto" w:fill="ffffcc" w:val="clear"/>
      <w:spacing w:before="120"/>
      <w:jc w:val="both"/>
    </w:pPr>
    <w:rPr>
      <w:rFonts w:ascii="Arial" w:cs="Times New Roman" w:eastAsia="Calibri" w:hAnsi="Arial"/>
      <w:i w:val="1"/>
      <w:iCs w:val="1"/>
      <w:color w:val="000000"/>
      <w:sz w:val="20"/>
      <w:lang w:eastAsia="en-US"/>
    </w:rPr>
  </w:style>
  <w:style w:type="character" w:styleId="GradeColorida-nfase1Char" w:customStyle="1">
    <w:name w:val="Grade Colorida - Ênfase 1 Char"/>
    <w:link w:val="GradeColorida-nfase11"/>
    <w:uiPriority w:val="29"/>
    <w:rsid w:val="00D30A43"/>
    <w:rPr>
      <w:rFonts w:ascii="Arial" w:eastAsia="Calibri" w:hAnsi="Arial"/>
      <w:i w:val="1"/>
      <w:iCs w:val="1"/>
      <w:color w:val="000000"/>
      <w:szCs w:val="24"/>
      <w:shd w:color="auto" w:fill="ffffcc" w:val="clear"/>
    </w:rPr>
  </w:style>
  <w:style w:type="paragraph" w:styleId="xwestern" w:customStyle="1">
    <w:name w:val="x_western"/>
    <w:basedOn w:val="Normal"/>
    <w:rsid w:val="00D30A43"/>
    <w:pPr>
      <w:spacing w:after="100" w:afterAutospacing="1" w:before="100" w:beforeAutospacing="1"/>
    </w:pPr>
    <w:rPr>
      <w:rFonts w:ascii="Times New Roman" w:cs="Times New Roman" w:eastAsia="Times New Roman" w:hAnsi="Times New Roman"/>
    </w:rPr>
  </w:style>
  <w:style w:type="paragraph" w:styleId="TCU-Ac-item9-0" w:customStyle="1">
    <w:name w:val="TCU - Ac - item 9 - §§_0"/>
    <w:basedOn w:val="Normal"/>
    <w:rsid w:val="00D30A43"/>
    <w:pPr>
      <w:ind w:firstLine="1134"/>
      <w:jc w:val="both"/>
    </w:pPr>
    <w:rPr>
      <w:rFonts w:ascii="Times New Roman" w:cs="Times New Roman" w:eastAsia="Times New Roman" w:hAnsi="Times New Roman"/>
      <w:szCs w:val="22"/>
      <w:lang w:eastAsia="en-US"/>
    </w:rPr>
  </w:style>
  <w:style w:type="paragraph" w:styleId="Normal1" w:customStyle="1">
    <w:name w:val="Normal_1"/>
    <w:rsid w:val="00D30A43"/>
    <w:rPr>
      <w:rFonts w:eastAsia="Times New Roman"/>
      <w:sz w:val="24"/>
      <w:szCs w:val="22"/>
    </w:rPr>
  </w:style>
  <w:style w:type="paragraph" w:styleId="tcu-ac-item9-1linha" w:customStyle="1">
    <w:name w:val="tcu_-__ac_-_item_9_-_1ª_linha"/>
    <w:basedOn w:val="Normal"/>
    <w:rsid w:val="00D30A43"/>
    <w:pPr>
      <w:spacing w:after="100" w:afterAutospacing="1" w:before="100"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
    <w:rsid w:val="00D30A43"/>
    <w:pPr>
      <w:spacing w:after="100" w:afterAutospacing="1" w:before="100" w:beforeAutospacing="1"/>
    </w:pPr>
    <w:rPr>
      <w:rFonts w:ascii="Times New Roman" w:cs="Times New Roman" w:eastAsia="Times New Roman" w:hAnsi="Times New Roman"/>
    </w:rPr>
  </w:style>
  <w:style w:type="character" w:styleId="highlight" w:customStyle="1">
    <w:name w:val="highlight"/>
    <w:basedOn w:val="Fontepargpadro"/>
    <w:rsid w:val="00D30A43"/>
  </w:style>
  <w:style w:type="paragraph" w:styleId="textojustificado" w:customStyle="1">
    <w:name w:val="texto_justificado"/>
    <w:basedOn w:val="Normal"/>
    <w:rsid w:val="00D30A43"/>
    <w:pPr>
      <w:spacing w:after="100" w:afterAutospacing="1" w:before="100" w:beforeAutospacing="1"/>
    </w:pPr>
    <w:rPr>
      <w:rFonts w:ascii="Times New Roman" w:cs="Times New Roman" w:eastAsia="Times New Roman" w:hAnsi="Times New Roman"/>
    </w:rPr>
  </w:style>
  <w:style w:type="character" w:styleId="HiperlinkVisitado">
    <w:name w:val="FollowedHyperlink"/>
    <w:basedOn w:val="Fontepargpadro"/>
    <w:uiPriority w:val="99"/>
    <w:semiHidden w:val="1"/>
    <w:unhideWhenUsed w:val="1"/>
    <w:rsid w:val="00D30A43"/>
    <w:rPr>
      <w:color w:val="800080" w:themeColor="followedHyperlink"/>
      <w:u w:val="single"/>
    </w:rPr>
  </w:style>
  <w:style w:type="character" w:styleId="MenoPendente1" w:customStyle="1">
    <w:name w:val="Menção Pendente1"/>
    <w:basedOn w:val="Fontepargpadro"/>
    <w:uiPriority w:val="99"/>
    <w:semiHidden w:val="1"/>
    <w:unhideWhenUsed w:val="1"/>
    <w:rsid w:val="00D30A43"/>
    <w:rPr>
      <w:color w:val="605e5c"/>
      <w:shd w:color="auto" w:fill="e1dfdd" w:val="clear"/>
    </w:rPr>
  </w:style>
  <w:style w:type="character" w:styleId="MenoPendente2" w:customStyle="1">
    <w:name w:val="Menção Pendente2"/>
    <w:basedOn w:val="Fontepargpadro"/>
    <w:uiPriority w:val="99"/>
    <w:semiHidden w:val="1"/>
    <w:unhideWhenUsed w:val="1"/>
    <w:rsid w:val="0063029C"/>
    <w:rPr>
      <w:color w:val="605e5c"/>
      <w:shd w:color="auto" w:fill="e1dfdd" w:val="clear"/>
    </w:rPr>
  </w:style>
  <w:style w:type="character" w:styleId="Nivel2-OpcionalChar" w:customStyle="1">
    <w:name w:val="Nivel 2-Opcional Char"/>
    <w:basedOn w:val="Fontepargpadro"/>
    <w:link w:val="Nivel2-Opcional"/>
    <w:locked w:val="1"/>
    <w:rsid w:val="00EE5824"/>
    <w:rPr>
      <w:rFonts w:ascii="Arial" w:cs="Arial" w:eastAsia="Arial" w:hAnsi="Arial"/>
      <w:i w:val="1"/>
      <w:color w:val="ff0000"/>
      <w:shd w:color="auto" w:fill="76923c" w:themeFill="accent3" w:themeFillShade="0000BF" w:val="clear"/>
      <w:lang w:eastAsia="pt-BR"/>
    </w:rPr>
  </w:style>
  <w:style w:type="paragraph" w:styleId="Nvel2Opcional" w:customStyle="1">
    <w:name w:val="Nível 2 Opcional"/>
    <w:basedOn w:val="Nivel2-Opcional"/>
    <w:link w:val="Nvel2OpcionalChar"/>
    <w:rsid w:val="00A831D9"/>
    <w:pPr>
      <w:numPr>
        <w:ilvl w:val="0"/>
        <w:numId w:val="0"/>
      </w:numPr>
      <w:ind w:left="432" w:hanging="432"/>
    </w:pPr>
    <w:rPr>
      <w:rFonts w:eastAsia="Times New Roman"/>
      <w:i w:val="0"/>
      <w:noProof w:val="1"/>
    </w:rPr>
  </w:style>
  <w:style w:type="paragraph" w:styleId="Nvel3Opcional" w:customStyle="1">
    <w:name w:val="Nível 3 Opcional"/>
    <w:basedOn w:val="Nivel3-erro"/>
    <w:link w:val="Nvel3OpcionalChar"/>
    <w:rsid w:val="00A831D9"/>
    <w:pPr>
      <w:numPr>
        <w:numId w:val="0"/>
      </w:numPr>
      <w:ind w:left="1072" w:hanging="504"/>
    </w:pPr>
    <w:rPr>
      <w:rFonts w:eastAsia="Times New Roman"/>
      <w:i w:val="1"/>
      <w:iCs w:val="1"/>
      <w:noProof w:val="1"/>
      <w:color w:val="ff0000"/>
    </w:rPr>
  </w:style>
  <w:style w:type="character" w:styleId="Nvel2OpcionalChar" w:customStyle="1">
    <w:name w:val="Nível 2 Opcional Char"/>
    <w:basedOn w:val="Fontepargpadro"/>
    <w:link w:val="Nvel2Opcional"/>
    <w:rsid w:val="00A831D9"/>
    <w:rPr>
      <w:rFonts w:ascii="Arial" w:cs="Arial" w:eastAsia="Times New Roman" w:hAnsi="Arial"/>
      <w:i w:val="1"/>
      <w:noProof w:val="1"/>
      <w:color w:val="ff0000"/>
      <w:lang w:eastAsia="pt-BR"/>
    </w:rPr>
  </w:style>
  <w:style w:type="character" w:styleId="Nvel3OpcionalChar" w:customStyle="1">
    <w:name w:val="Nível 3 Opcional Char"/>
    <w:basedOn w:val="Fontepargpadro"/>
    <w:link w:val="Nvel3Opcional"/>
    <w:rsid w:val="00A831D9"/>
    <w:rPr>
      <w:rFonts w:ascii="Arial" w:cs="Arial" w:eastAsia="Times New Roman" w:hAnsi="Arial"/>
      <w:i w:val="1"/>
      <w:iCs w:val="1"/>
      <w:noProof w:val="1"/>
      <w:color w:val="ff0000"/>
      <w:lang w:eastAsia="pt-BR"/>
    </w:rPr>
  </w:style>
  <w:style w:type="character" w:styleId="TextodoEspaoReservado">
    <w:name w:val="Placeholder Text"/>
    <w:basedOn w:val="Fontepargpadro"/>
    <w:uiPriority w:val="67"/>
    <w:semiHidden w:val="1"/>
    <w:rsid w:val="0029332D"/>
    <w:rPr>
      <w:color w:val="808080"/>
    </w:rPr>
  </w:style>
  <w:style w:type="character" w:styleId="PargrafodaListaChar" w:customStyle="1">
    <w:name w:val="Parágrafo da Lista Char"/>
    <w:basedOn w:val="Fontepargpadro"/>
    <w:link w:val="PargrafodaLista"/>
    <w:uiPriority w:val="34"/>
    <w:rsid w:val="002430F2"/>
    <w:rPr>
      <w:rFonts w:ascii="Ecofont_Spranq_eco_Sans" w:cs="Tahoma" w:hAnsi="Ecofont_Spranq_eco_Sans"/>
      <w:sz w:val="24"/>
      <w:szCs w:val="24"/>
      <w:lang w:eastAsia="pt-BR"/>
    </w:rPr>
  </w:style>
  <w:style w:type="character" w:styleId="Ttulo3Char" w:customStyle="1">
    <w:name w:val="Título 3 Char"/>
    <w:basedOn w:val="Fontepargpadro"/>
    <w:link w:val="Ttulo3"/>
    <w:uiPriority w:val="9"/>
    <w:semiHidden w:val="1"/>
    <w:rsid w:val="00CB3192"/>
    <w:rPr>
      <w:rFonts w:asciiTheme="majorHAnsi" w:cstheme="majorBidi" w:eastAsiaTheme="majorEastAsia" w:hAnsiTheme="majorHAnsi"/>
      <w:color w:val="243f60" w:themeColor="accent1" w:themeShade="00007F"/>
      <w:sz w:val="24"/>
      <w:szCs w:val="24"/>
    </w:rPr>
  </w:style>
  <w:style w:type="character" w:styleId="Ttulo6Char" w:customStyle="1">
    <w:name w:val="Título 6 Char"/>
    <w:basedOn w:val="Fontepargpadro"/>
    <w:link w:val="Ttulo6"/>
    <w:uiPriority w:val="9"/>
    <w:semiHidden w:val="1"/>
    <w:rsid w:val="00CB3192"/>
    <w:rPr>
      <w:rFonts w:asciiTheme="majorHAnsi" w:cstheme="majorBidi" w:eastAsiaTheme="majorEastAsia" w:hAnsiTheme="majorHAnsi"/>
      <w:color w:val="243f60" w:themeColor="accent1" w:themeShade="00007F"/>
      <w:sz w:val="22"/>
      <w:szCs w:val="22"/>
    </w:rPr>
  </w:style>
  <w:style w:type="paragraph" w:styleId="SombreamentoMdio1-nfase31" w:customStyle="1">
    <w:name w:val="Sombreamento Médio 1 - Ênfase 31"/>
    <w:basedOn w:val="Normal"/>
    <w:next w:val="Normal"/>
    <w:rsid w:val="00CB3192"/>
    <w:pPr>
      <w:pBdr>
        <w:top w:color="000080" w:space="1" w:sz="4" w:val="single"/>
        <w:left w:color="000080" w:space="4" w:sz="4" w:val="single"/>
        <w:bottom w:color="000080" w:space="1" w:sz="4" w:val="single"/>
        <w:right w:color="000080" w:space="4" w:sz="4" w:val="single"/>
      </w:pBdr>
      <w:shd w:color="auto" w:fill="ffffcc" w:val="clear"/>
      <w:suppressAutoHyphens w:val="1"/>
      <w:spacing w:before="120"/>
      <w:jc w:val="both"/>
    </w:pPr>
    <w:rPr>
      <w:rFonts w:eastAsia="Calibri"/>
      <w:i w:val="1"/>
      <w:iCs w:val="1"/>
      <w:color w:val="000000"/>
      <w:sz w:val="20"/>
      <w:lang w:eastAsia="zh-CN"/>
    </w:rPr>
  </w:style>
  <w:style w:type="paragraph" w:styleId="corpo" w:customStyle="1">
    <w:name w:val="corpo"/>
    <w:basedOn w:val="Normal"/>
    <w:rsid w:val="00CB3192"/>
    <w:pPr>
      <w:spacing w:after="100" w:afterAutospacing="1" w:before="100" w:beforeAutospacing="1"/>
    </w:pPr>
    <w:rPr>
      <w:rFonts w:ascii="Times New Roman" w:cs="Times New Roman" w:eastAsia="Times New Roman" w:hAnsi="Times New Roman"/>
    </w:rPr>
  </w:style>
  <w:style w:type="paragraph" w:styleId="itemnivel2" w:customStyle="1">
    <w:name w:val="item_nivel2"/>
    <w:basedOn w:val="Normal"/>
    <w:rsid w:val="00CB3192"/>
    <w:pPr>
      <w:spacing w:after="100" w:afterAutospacing="1" w:before="100" w:beforeAutospacing="1"/>
    </w:pPr>
    <w:rPr>
      <w:rFonts w:ascii="Times New Roman" w:cs="Times New Roman" w:eastAsia="Times New Roman" w:hAnsi="Times New Roman"/>
    </w:rPr>
  </w:style>
  <w:style w:type="paragraph" w:styleId="itemnivel1" w:customStyle="1">
    <w:name w:val="item_nivel1"/>
    <w:basedOn w:val="Normal"/>
    <w:rsid w:val="00CB3192"/>
    <w:pPr>
      <w:spacing w:after="100" w:afterAutospacing="1" w:before="100" w:beforeAutospacing="1"/>
    </w:pPr>
    <w:rPr>
      <w:rFonts w:ascii="Times New Roman" w:cs="Times New Roman" w:eastAsia="Times New Roman" w:hAnsi="Times New Roman"/>
    </w:rPr>
  </w:style>
  <w:style w:type="paragraph" w:styleId="itemalinealetra" w:customStyle="1">
    <w:name w:val="item_alinea_letra"/>
    <w:basedOn w:val="Normal"/>
    <w:rsid w:val="00CB3192"/>
    <w:pPr>
      <w:spacing w:after="100" w:afterAutospacing="1" w:before="100" w:beforeAutospacing="1"/>
    </w:pPr>
    <w:rPr>
      <w:rFonts w:ascii="Times New Roman" w:cs="Times New Roman" w:eastAsia="Times New Roman" w:hAnsi="Times New Roman"/>
    </w:rPr>
  </w:style>
  <w:style w:type="character" w:styleId="markedcontent" w:customStyle="1">
    <w:name w:val="markedcontent"/>
    <w:basedOn w:val="Fontepargpadro"/>
    <w:rsid w:val="00CB3192"/>
  </w:style>
  <w:style w:type="paragraph" w:styleId="Standard" w:customStyle="1">
    <w:name w:val="Standard"/>
    <w:rsid w:val="00CB3192"/>
    <w:pPr>
      <w:suppressAutoHyphens w:val="1"/>
      <w:autoSpaceDN w:val="0"/>
    </w:pPr>
    <w:rPr>
      <w:rFonts w:ascii="Liberation Serif" w:cs="Lucida Sans" w:eastAsia="NSimSun" w:hAnsi="Liberation Serif"/>
      <w:kern w:val="3"/>
      <w:sz w:val="24"/>
      <w:szCs w:val="24"/>
      <w:lang w:bidi="hi-IN" w:eastAsia="zh-CN"/>
    </w:rPr>
  </w:style>
  <w:style w:type="paragraph" w:styleId="Textbody0" w:customStyle="1">
    <w:name w:val="Text body"/>
    <w:basedOn w:val="Standard"/>
    <w:rsid w:val="00CB3192"/>
    <w:pPr>
      <w:spacing w:after="140" w:line="276" w:lineRule="auto"/>
    </w:pPr>
  </w:style>
  <w:style w:type="character" w:styleId="MenoPendente3" w:customStyle="1">
    <w:name w:val="Menção Pendente3"/>
    <w:basedOn w:val="Fontepargpadro"/>
    <w:uiPriority w:val="99"/>
    <w:semiHidden w:val="1"/>
    <w:unhideWhenUsed w:val="1"/>
    <w:rsid w:val="00CB3192"/>
    <w:rPr>
      <w:color w:val="605e5c"/>
      <w:shd w:color="auto" w:fill="e1dfdd" w:val="clear"/>
    </w:rPr>
  </w:style>
  <w:style w:type="character" w:styleId="MenoPendente4" w:customStyle="1">
    <w:name w:val="Menção Pendente4"/>
    <w:basedOn w:val="Fontepargpadro"/>
    <w:uiPriority w:val="99"/>
    <w:semiHidden w:val="1"/>
    <w:unhideWhenUsed w:val="1"/>
    <w:rsid w:val="00CB3192"/>
    <w:rPr>
      <w:color w:val="605e5c"/>
      <w:shd w:color="auto" w:fill="e1dfdd" w:val="clear"/>
    </w:rPr>
  </w:style>
  <w:style w:type="paragraph" w:styleId="ou" w:customStyle="1">
    <w:name w:val="ou"/>
    <w:basedOn w:val="PargrafodaLista"/>
    <w:link w:val="ouChar"/>
    <w:autoRedefine w:val="1"/>
    <w:qFormat w:val="1"/>
    <w:rsid w:val="00057363"/>
    <w:pPr>
      <w:spacing w:after="60" w:before="60" w:line="259" w:lineRule="auto"/>
      <w:ind w:left="0"/>
      <w:contextualSpacing w:val="0"/>
      <w:jc w:val="center"/>
    </w:pPr>
    <w:rPr>
      <w:rFonts w:ascii="Arial" w:cs="Arial" w:hAnsi="Arial" w:eastAsiaTheme="minorHAnsi"/>
      <w:b w:val="1"/>
      <w:bCs w:val="1"/>
      <w:i w:val="1"/>
      <w:iCs w:val="1"/>
      <w:color w:val="ff0000"/>
      <w:sz w:val="20"/>
    </w:rPr>
  </w:style>
  <w:style w:type="character" w:styleId="ouChar" w:customStyle="1">
    <w:name w:val="ou Char"/>
    <w:basedOn w:val="PargrafodaListaChar"/>
    <w:link w:val="ou"/>
    <w:rsid w:val="00057363"/>
    <w:rPr>
      <w:rFonts w:ascii="Arial" w:cs="Arial" w:hAnsi="Arial" w:eastAsiaTheme="minorHAnsi"/>
      <w:b w:val="1"/>
      <w:bCs w:val="1"/>
      <w:i w:val="1"/>
      <w:iCs w:val="1"/>
      <w:color w:val="ff0000"/>
      <w:sz w:val="24"/>
      <w:szCs w:val="24"/>
      <w:lang w:eastAsia="pt-BR"/>
    </w:rPr>
  </w:style>
  <w:style w:type="paragraph" w:styleId="dou-paragraph" w:customStyle="1">
    <w:name w:val="dou-paragraph"/>
    <w:basedOn w:val="Normal"/>
    <w:rsid w:val="00CB3192"/>
    <w:pPr>
      <w:spacing w:after="100" w:afterAutospacing="1" w:before="100" w:beforeAutospacing="1"/>
    </w:pPr>
    <w:rPr>
      <w:rFonts w:ascii="Times New Roman" w:cs="Times New Roman" w:eastAsia="Times New Roman" w:hAnsi="Times New Roman"/>
    </w:rPr>
  </w:style>
  <w:style w:type="paragraph" w:styleId="Nvel02" w:customStyle="1">
    <w:name w:val="Nível 02"/>
    <w:basedOn w:val="Nivel2-Opcional"/>
    <w:link w:val="Nvel02Char"/>
    <w:autoRedefine w:val="1"/>
    <w:qFormat w:val="1"/>
    <w:rsid w:val="0061574E"/>
    <w:pPr>
      <w:shd w:color="auto" w:fill="auto" w:val="clear"/>
    </w:pPr>
    <w:rPr>
      <w:i w:val="0"/>
      <w:iCs w:val="1"/>
      <w:color w:val="auto"/>
    </w:rPr>
  </w:style>
  <w:style w:type="paragraph" w:styleId="Nvel3-R" w:customStyle="1">
    <w:name w:val="Nível 3-R"/>
    <w:basedOn w:val="Nivel3-erro"/>
    <w:link w:val="Nvel3-RChar"/>
    <w:autoRedefine w:val="1"/>
    <w:qFormat w:val="1"/>
    <w:rsid w:val="0074191C"/>
    <w:pPr>
      <w:ind w:left="1638" w:hanging="504"/>
    </w:pPr>
    <w:rPr>
      <w:rFonts w:cs="Arial"/>
      <w:i w:val="1"/>
      <w:iCs w:val="1"/>
      <w:color w:val="ff0000"/>
    </w:rPr>
  </w:style>
  <w:style w:type="character" w:styleId="Nvel02Char" w:customStyle="1">
    <w:name w:val="Nível 02 Char"/>
    <w:basedOn w:val="Nivel2-OpcionalChar"/>
    <w:link w:val="Nvel02"/>
    <w:rsid w:val="0061574E"/>
    <w:rPr>
      <w:rFonts w:ascii="Arial" w:cs="Arial" w:eastAsia="Arial" w:hAnsi="Arial"/>
      <w:i w:val="0"/>
      <w:iCs w:val="1"/>
      <w:color w:val="ff0000"/>
      <w:shd w:color="auto" w:fill="76923c" w:themeFill="accent3" w:themeFillShade="0000BF" w:val="clear"/>
      <w:lang w:eastAsia="pt-BR"/>
    </w:rPr>
  </w:style>
  <w:style w:type="paragraph" w:styleId="Nvel4-R" w:customStyle="1">
    <w:name w:val="Nível 4-R"/>
    <w:basedOn w:val="Nvel3-Opcional"/>
    <w:link w:val="Nvel4-RChar"/>
    <w:autoRedefine w:val="1"/>
    <w:qFormat w:val="1"/>
    <w:rsid w:val="00D63569"/>
    <w:pPr>
      <w:numPr>
        <w:ilvl w:val="3"/>
      </w:numPr>
      <w:ind w:left="567" w:firstLine="0"/>
    </w:pPr>
    <w:rPr>
      <w:rFonts w:cs="Arial"/>
      <w:bCs w:val="1"/>
      <w:color w:val="auto"/>
      <w:szCs w:val="20"/>
    </w:rPr>
  </w:style>
  <w:style w:type="character" w:styleId="Nivel3-erroChar" w:customStyle="1">
    <w:name w:val="Nivel 3-erro Char"/>
    <w:basedOn w:val="Fontepargpadro"/>
    <w:link w:val="Nivel3-erro"/>
    <w:rsid w:val="00667C40"/>
    <w:rPr>
      <w:rFonts w:ascii="Arial" w:cs="Tahoma" w:hAnsi="Arial"/>
      <w:szCs w:val="24"/>
      <w:lang w:eastAsia="pt-BR"/>
    </w:rPr>
  </w:style>
  <w:style w:type="character" w:styleId="Nvel3-RChar" w:customStyle="1">
    <w:name w:val="Nível 3-R Char"/>
    <w:basedOn w:val="Nivel3-erroChar"/>
    <w:link w:val="Nvel3-R"/>
    <w:rsid w:val="0074191C"/>
    <w:rPr>
      <w:rFonts w:ascii="Arial" w:cs="Arial" w:hAnsi="Arial"/>
      <w:i w:val="1"/>
      <w:iCs w:val="1"/>
      <w:color w:val="ff0000"/>
      <w:szCs w:val="24"/>
      <w:lang w:eastAsia="pt-BR"/>
    </w:rPr>
  </w:style>
  <w:style w:type="paragraph" w:styleId="Nvel1-SemNum" w:customStyle="1">
    <w:name w:val="Nível 1-Sem Num"/>
    <w:basedOn w:val="Nivel01"/>
    <w:link w:val="Nvel1-SemNumChar"/>
    <w:autoRedefine w:val="1"/>
    <w:qFormat w:val="1"/>
    <w:rsid w:val="00E718C4"/>
    <w:pPr>
      <w:numPr>
        <w:numId w:val="0"/>
      </w:numPr>
      <w:jc w:val="left"/>
      <w:outlineLvl w:val="1"/>
    </w:pPr>
    <w:rPr>
      <w:i w:val="1"/>
      <w:iCs w:val="0"/>
      <w:color w:val="ff0000"/>
    </w:rPr>
  </w:style>
  <w:style w:type="character" w:styleId="Nvel4-RChar" w:customStyle="1">
    <w:name w:val="Nível 4-R Char"/>
    <w:basedOn w:val="Nivel4Char"/>
    <w:link w:val="Nvel4-R"/>
    <w:rsid w:val="00D63569"/>
    <w:rPr>
      <w:rFonts w:ascii="Arial" w:cs="Arial" w:hAnsi="Arial"/>
      <w:bCs w:val="1"/>
      <w:i w:val="1"/>
      <w:lang w:eastAsia="pt-BR"/>
    </w:rPr>
  </w:style>
  <w:style w:type="character" w:styleId="LinkdaInternet" w:customStyle="1">
    <w:name w:val="Link da Internet"/>
    <w:basedOn w:val="Fontepargpadro"/>
    <w:uiPriority w:val="99"/>
    <w:unhideWhenUsed w:val="1"/>
    <w:rsid w:val="00DC41DD"/>
    <w:rPr>
      <w:color w:val="0000ff" w:themeColor="hyperlink"/>
      <w:u w:val="single"/>
    </w:rPr>
  </w:style>
  <w:style w:type="character" w:styleId="Nvel1-SemNumChar" w:customStyle="1">
    <w:name w:val="Nível 1-Sem Num Char"/>
    <w:basedOn w:val="Nivel01Char"/>
    <w:link w:val="Nvel1-SemNum"/>
    <w:rsid w:val="00E718C4"/>
    <w:rPr>
      <w:rFonts w:ascii="Arial" w:cs="Arial" w:eastAsia="Arial" w:hAnsi="Arial"/>
      <w:b w:val="1"/>
      <w:i w:val="1"/>
      <w:iCs w:val="0"/>
      <w:color w:val="ff0000"/>
      <w:spacing w:val="5"/>
      <w:kern w:val="28"/>
      <w:sz w:val="52"/>
      <w:szCs w:val="52"/>
      <w:lang w:eastAsia="pt-BR"/>
    </w:rPr>
  </w:style>
  <w:style w:type="paragraph" w:styleId="citao2" w:customStyle="1">
    <w:name w:val="citação 2"/>
    <w:basedOn w:val="Citao"/>
    <w:link w:val="citao2Char"/>
    <w:rsid w:val="00DC41DD"/>
    <w:pPr>
      <w:overflowPunct w:val="0"/>
    </w:pPr>
    <w:rPr>
      <w:szCs w:val="20"/>
    </w:rPr>
  </w:style>
  <w:style w:type="paragraph" w:styleId="Prembulo" w:customStyle="1">
    <w:name w:val="Preâmbulo"/>
    <w:basedOn w:val="Normal"/>
    <w:link w:val="PrembuloChar"/>
    <w:rsid w:val="00BB19E4"/>
    <w:pPr>
      <w:spacing w:after="120" w:before="480" w:line="360" w:lineRule="auto"/>
      <w:ind w:left="4253" w:right="-17"/>
      <w:jc w:val="both"/>
    </w:pPr>
    <w:rPr>
      <w:rFonts w:ascii="Arial" w:cs="Arial" w:eastAsia="Arial" w:hAnsi="Arial"/>
      <w:bCs w:val="1"/>
      <w:sz w:val="20"/>
      <w:szCs w:val="20"/>
    </w:rPr>
  </w:style>
  <w:style w:type="character" w:styleId="PrembuloChar" w:customStyle="1">
    <w:name w:val="Preâmbulo Char"/>
    <w:basedOn w:val="Fontepargpadro"/>
    <w:link w:val="Prembulo"/>
    <w:rsid w:val="00BB19E4"/>
    <w:rPr>
      <w:rFonts w:ascii="Arial" w:cs="Arial" w:eastAsia="Arial" w:hAnsi="Arial"/>
      <w:bCs w:val="1"/>
      <w:lang w:eastAsia="pt-BR"/>
    </w:rPr>
  </w:style>
  <w:style w:type="character" w:styleId="MenoPendente5" w:customStyle="1">
    <w:name w:val="Menção Pendente5"/>
    <w:basedOn w:val="Fontepargpadro"/>
    <w:uiPriority w:val="99"/>
    <w:semiHidden w:val="1"/>
    <w:unhideWhenUsed w:val="1"/>
    <w:rsid w:val="008D252D"/>
    <w:rPr>
      <w:color w:val="605e5c"/>
      <w:shd w:color="auto" w:fill="e1dfdd" w:val="clear"/>
    </w:rPr>
  </w:style>
  <w:style w:type="character" w:styleId="citao2Char" w:customStyle="1">
    <w:name w:val="citação 2 Char"/>
    <w:basedOn w:val="CitaoChar"/>
    <w:link w:val="citao2"/>
    <w:rsid w:val="00573B28"/>
    <w:rPr>
      <w:rFonts w:ascii="Arial" w:cs="Tahoma" w:eastAsia="Calibri" w:hAnsi="Arial"/>
      <w:i w:val="1"/>
      <w:iCs w:val="1"/>
      <w:color w:val="000000"/>
      <w:szCs w:val="24"/>
      <w:shd w:color="auto" w:fill="ffffcc" w:val="clear"/>
    </w:rPr>
  </w:style>
  <w:style w:type="paragraph" w:styleId="Nvel1-SemNumerao" w:customStyle="1">
    <w:name w:val="Nível 1-Sem Numeração"/>
    <w:basedOn w:val="Nvel1-SemNum"/>
    <w:link w:val="Nvel1-SemNumeraoChar"/>
    <w:autoRedefine w:val="1"/>
    <w:qFormat w:val="1"/>
    <w:rsid w:val="001B4143"/>
    <w:rPr>
      <w:i w:val="0"/>
      <w:color w:val="auto"/>
      <w:lang w:eastAsia="en-US"/>
    </w:rPr>
  </w:style>
  <w:style w:type="character" w:styleId="Nvel1-SemNumeraoChar" w:customStyle="1">
    <w:name w:val="Nível 1-Sem Numeração Char"/>
    <w:basedOn w:val="Nvel1-SemNumChar"/>
    <w:link w:val="Nvel1-SemNumerao"/>
    <w:rsid w:val="001B4143"/>
    <w:rPr>
      <w:rFonts w:ascii="Arial" w:cs="Arial" w:eastAsia="Arial" w:hAnsi="Arial"/>
      <w:b w:val="1"/>
      <w:i w:val="0"/>
      <w:iCs w:val="0"/>
      <w:color w:val="ff0000"/>
      <w:spacing w:val="5"/>
      <w:kern w:val="28"/>
      <w:sz w:val="52"/>
      <w:szCs w:val="52"/>
      <w:lang w:eastAsia="pt-BR"/>
    </w:rPr>
  </w:style>
  <w:style w:type="character" w:styleId="MenoPendente6" w:customStyle="1">
    <w:name w:val="Menção Pendente6"/>
    <w:basedOn w:val="Fontepargpadro"/>
    <w:uiPriority w:val="99"/>
    <w:semiHidden w:val="1"/>
    <w:unhideWhenUsed w:val="1"/>
    <w:rsid w:val="004B478E"/>
    <w:rPr>
      <w:color w:val="605e5c"/>
      <w:shd w:color="auto" w:fill="e1dfdd" w:val="clear"/>
    </w:rPr>
  </w:style>
  <w:style w:type="paragraph" w:styleId="Nivel3" w:customStyle="1">
    <w:name w:val="Nivel 3"/>
    <w:basedOn w:val="Normal"/>
    <w:link w:val="Nivel3Char"/>
    <w:qFormat w:val="1"/>
    <w:rsid w:val="00591FFE"/>
    <w:pPr>
      <w:numPr>
        <w:ilvl w:val="2"/>
        <w:numId w:val="10"/>
      </w:numPr>
      <w:spacing w:after="120" w:before="120" w:line="276" w:lineRule="auto"/>
      <w:ind w:left="284" w:firstLine="0"/>
      <w:jc w:val="both"/>
    </w:pPr>
    <w:rPr>
      <w:rFonts w:ascii="Arial" w:hAnsi="Arial"/>
      <w:sz w:val="20"/>
    </w:rPr>
  </w:style>
  <w:style w:type="paragraph" w:styleId="Alteraes" w:customStyle="1">
    <w:name w:val="Alterações"/>
    <w:basedOn w:val="Nvel02"/>
    <w:link w:val="AlteraesChar"/>
    <w:rsid w:val="00AF5DE1"/>
    <w:rPr>
      <w:color w:val="0000ff"/>
    </w:rPr>
  </w:style>
  <w:style w:type="character" w:styleId="AlteraesChar" w:customStyle="1">
    <w:name w:val="Alterações Char"/>
    <w:basedOn w:val="Nvel02Char"/>
    <w:link w:val="Alteraes"/>
    <w:rsid w:val="00AF5DE1"/>
    <w:rPr>
      <w:rFonts w:ascii="Arial" w:cs="Arial" w:eastAsia="Arial" w:hAnsi="Arial"/>
      <w:i w:val="0"/>
      <w:iCs w:val="1"/>
      <w:color w:val="0000ff"/>
      <w:shd w:color="auto" w:fill="76923c" w:themeFill="accent3" w:themeFillShade="0000BF" w:val="clear"/>
      <w:lang w:eastAsia="pt-BR"/>
    </w:rPr>
  </w:style>
  <w:style w:type="character" w:styleId="Nivel3Char" w:customStyle="1">
    <w:name w:val="Nivel 3 Char"/>
    <w:basedOn w:val="Fontepargpadro"/>
    <w:link w:val="Nivel3"/>
    <w:rsid w:val="00591FFE"/>
    <w:rPr>
      <w:rFonts w:ascii="Arial" w:cs="Tahoma" w:hAnsi="Arial"/>
      <w:szCs w:val="24"/>
      <w:lang w:eastAsia="pt-BR"/>
    </w:rPr>
  </w:style>
  <w:style w:type="paragraph" w:styleId="TableContents" w:customStyle="1">
    <w:name w:val="Table Contents"/>
    <w:basedOn w:val="Normal"/>
    <w:rsid w:val="005F7663"/>
    <w:pPr>
      <w:widowControl w:val="0"/>
      <w:suppressLineNumbers w:val="1"/>
      <w:suppressAutoHyphens w:val="1"/>
      <w:autoSpaceDN w:val="0"/>
      <w:textAlignment w:val="baseline"/>
    </w:pPr>
    <w:rPr>
      <w:rFonts w:ascii="Times New Roman" w:eastAsia="SimSun" w:hAnsi="Times New Roman"/>
      <w:kern w:val="3"/>
      <w:lang w:bidi="hi-IN" w:eastAsia="zh-CN"/>
    </w:rPr>
  </w:style>
  <w:style w:type="character" w:styleId="MenoPendente7" w:customStyle="1">
    <w:name w:val="Menção Pendente7"/>
    <w:basedOn w:val="Fontepargpadro"/>
    <w:uiPriority w:val="99"/>
    <w:semiHidden w:val="1"/>
    <w:unhideWhenUsed w:val="1"/>
    <w:rsid w:val="00793206"/>
    <w:rPr>
      <w:color w:val="605e5c"/>
      <w:shd w:color="auto" w:fill="e1dfdd" w:val="clear"/>
    </w:rPr>
  </w:style>
  <w:style w:type="paragraph" w:styleId="Nivel21" w:customStyle="1">
    <w:name w:val="Nivel 21"/>
    <w:basedOn w:val="Normal"/>
    <w:next w:val="Nivel2-Opcional"/>
    <w:autoRedefine w:val="1"/>
    <w:rsid w:val="00591FFE"/>
    <w:pPr>
      <w:shd w:color="auto" w:fill="948a54" w:themeFill="background2" w:themeFillShade="000080" w:val="clear"/>
      <w:spacing w:after="120" w:before="120" w:line="276" w:lineRule="auto"/>
      <w:ind w:left="999" w:hanging="432"/>
      <w:jc w:val="both"/>
    </w:pPr>
    <w:rPr>
      <w:rFonts w:ascii="Arial" w:cs="Arial" w:eastAsia="Arial" w:hAnsi="Arial"/>
      <w:color w:val="000000" w:themeColor="text1"/>
      <w:sz w:val="20"/>
      <w:szCs w:val="20"/>
    </w:rPr>
  </w:style>
  <w:style w:type="paragraph" w:styleId="Nvel2-Opcional" w:customStyle="1">
    <w:name w:val="Nível 2-Opcional"/>
    <w:basedOn w:val="Nvel02"/>
    <w:link w:val="Nvel2-OpcionalChar"/>
    <w:qFormat w:val="1"/>
    <w:rsid w:val="00EE5824"/>
    <w:rPr>
      <w:i w:val="1"/>
      <w:color w:val="ff0000"/>
    </w:rPr>
  </w:style>
  <w:style w:type="character" w:styleId="Nvel2-OpcionalChar" w:customStyle="1">
    <w:name w:val="Nível 2-Opcional Char"/>
    <w:basedOn w:val="Nvel02Char"/>
    <w:link w:val="Nvel2-Opcional"/>
    <w:rsid w:val="00EE5824"/>
    <w:rPr>
      <w:rFonts w:ascii="Arial" w:cs="Arial" w:eastAsia="Arial" w:hAnsi="Arial"/>
      <w:i w:val="1"/>
      <w:iCs w:val="1"/>
      <w:color w:val="ff0000"/>
      <w:shd w:color="auto" w:fill="76923c" w:themeFill="accent3" w:themeFillShade="0000BF" w:val="clear"/>
      <w:lang w:eastAsia="pt-BR"/>
    </w:rPr>
  </w:style>
  <w:style w:type="paragraph" w:styleId="Nvel3-Opcional" w:customStyle="1">
    <w:name w:val="Nível 3-Opcional"/>
    <w:basedOn w:val="Nivel3"/>
    <w:link w:val="Nvel3-OpcionalChar"/>
    <w:qFormat w:val="1"/>
    <w:rsid w:val="00EE5824"/>
    <w:rPr>
      <w:i w:val="1"/>
      <w:color w:val="ff0000"/>
    </w:rPr>
  </w:style>
  <w:style w:type="character" w:styleId="Nvel3-OpcionalChar" w:customStyle="1">
    <w:name w:val="Nível 3-Opcional Char"/>
    <w:basedOn w:val="Nivel3Char"/>
    <w:link w:val="Nvel3-Opcional"/>
    <w:rsid w:val="00EE5824"/>
    <w:rPr>
      <w:rFonts w:ascii="Arial" w:cs="Tahoma" w:hAnsi="Arial"/>
      <w:i w:val="1"/>
      <w:color w:val="ff0000"/>
      <w:szCs w:val="24"/>
      <w:lang w:eastAsia="pt-BR"/>
    </w:rPr>
  </w:style>
  <w:style w:type="paragraph" w:styleId="Nvel1-SemBlack" w:customStyle="1">
    <w:name w:val="Nível 1-Sem Black"/>
    <w:basedOn w:val="Normal"/>
    <w:link w:val="Nvel1-SemBlackChar"/>
    <w:rsid w:val="00243342"/>
    <w:pPr>
      <w:keepNext w:val="1"/>
      <w:keepLines w:val="1"/>
      <w:tabs>
        <w:tab w:val="left" w:pos="567"/>
      </w:tabs>
      <w:spacing w:after="120" w:before="240" w:line="276" w:lineRule="auto"/>
      <w:jc w:val="both"/>
      <w:outlineLvl w:val="1"/>
    </w:pPr>
    <w:rPr>
      <w:rFonts w:ascii="Arial" w:cs="Arial" w:hAnsi="Arial" w:eastAsiaTheme="majorEastAsia"/>
      <w:b w:val="1"/>
      <w:bCs w:val="1"/>
      <w:sz w:val="20"/>
      <w:szCs w:val="20"/>
    </w:rPr>
  </w:style>
  <w:style w:type="character" w:styleId="Nvel1-SemBlackChar" w:customStyle="1">
    <w:name w:val="Nível 1-Sem Black Char"/>
    <w:basedOn w:val="Fontepargpadro"/>
    <w:link w:val="Nvel1-SemBlack"/>
    <w:rsid w:val="00243342"/>
    <w:rPr>
      <w:rFonts w:ascii="Arial" w:cs="Arial" w:hAnsi="Arial" w:eastAsiaTheme="majorEastAsia"/>
      <w:b w:val="1"/>
      <w:bCs w:val="1"/>
      <w:lang w:eastAsia="pt-BR"/>
    </w:rPr>
  </w:style>
  <w:style w:type="paragraph" w:styleId="Nivel2" w:customStyle="1">
    <w:name w:val="Nivel 2"/>
    <w:basedOn w:val="Normal"/>
    <w:link w:val="Nivel2Char"/>
    <w:autoRedefine w:val="1"/>
    <w:qFormat w:val="1"/>
    <w:rsid w:val="00560FC4"/>
    <w:pPr>
      <w:spacing w:after="120" w:before="120" w:line="276" w:lineRule="auto"/>
      <w:ind w:left="999" w:hanging="432"/>
      <w:jc w:val="both"/>
    </w:pPr>
    <w:rPr>
      <w:rFonts w:ascii="Arial" w:cs="Arial" w:eastAsia="Arial" w:hAnsi="Arial"/>
      <w:color w:val="000000" w:themeColor="text1"/>
      <w:sz w:val="20"/>
      <w:szCs w:val="20"/>
    </w:rPr>
  </w:style>
  <w:style w:type="character" w:styleId="Nivel2Char" w:customStyle="1">
    <w:name w:val="Nivel 2 Char"/>
    <w:basedOn w:val="Fontepargpadro"/>
    <w:link w:val="Nivel2"/>
    <w:locked w:val="1"/>
    <w:rsid w:val="00560FC4"/>
    <w:rPr>
      <w:rFonts w:ascii="Arial" w:cs="Arial" w:eastAsia="Arial" w:hAnsi="Arial"/>
      <w:color w:val="000000" w:themeColor="text1"/>
      <w:lang w:eastAsia="pt-BR"/>
    </w:rPr>
  </w:style>
  <w:style w:type="paragraph" w:styleId="Estilo7" w:customStyle="1">
    <w:name w:val="Estilo7"/>
    <w:basedOn w:val="Nvel02"/>
    <w:qFormat w:val="1"/>
    <w:rsid w:val="00E564A1"/>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GMtoMJH9ZbwPeAz3g1TW6aMMnTg==">CgMxLjAyDmgucHJkbmFqeHNkMGZuMg5oLjJyY2t1NWg3czhxMzIOaC5mdWtobnpzY3NlbGEyDmgucXY0emZwYzFxcW4wMg5oLngwb3Q0NTdzazhoOTIOaC43YzQ1bmhyeWltZTMyDmguMmxyMnRuNzF4ZWVhMg5oLnJqNGhybXAxcTFhdTIOaC5vdDZ2ajNjdnd1NjgyDmgueWVpMGVsbG55cTExMg5oLjFvNm92YTloajF2aTIOaC40ZGFwZmx4NmwyZGwyDmgub2Y1NWNzM2syc21hMg5oLnliMWZ3Zmswd2kwdTgAciExX0hhdHdRRWRpMTlldC1MaklTQVh0R3paa1ZoSkZsV0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2025-10-20T18:43:00Z</dcterms:created>
</cp:coreProperties>
</file>